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0715-2020-QEO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天津致通供应链管理有限公司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Tianjin Zhitong Supply Chain Management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天津自贸试验区（空港经济区）颐景公寓7-2-201</w:t>
      </w:r>
      <w:bookmarkEnd w:id="3"/>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300000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(英文)：7-2-201, Yijing apartment, Tianjin pilot free trade zone (Airport Economic Zone)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天津滨海新区新村街美晨大厦10楼1001</w:t>
      </w:r>
      <w:bookmarkEnd w:id="5"/>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300000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(英文)：1001, 10th floor, Meichen building, Xincun street, Binhai New Area, Tianjin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91120118MA074EU04R</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13810387360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焦亚涛</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周建基</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Q：普通货运、货物专用运输（集装箱）、大型物件运输（限许可范围内）</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英文：General freight transportation, special freight transportation (container) and large goods transportation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E：普通货运、货物专用运输（集装箱）、大型物件运输（限许可范围内）所涉及场所的相关环境管理活动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Environment Management Activities about General freight transportation, special freight transportation (container) and large goods transportation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O：普通货运、货物专用运输（集装箱）、大型物件运输（限许可范围内）所涉及场所的相关职业健康安全管理活动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Occupational Health Safety Management Activities about General freight transportation, special freight transportation (container) and large goods transportation (within the scope of permission)</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ascii="宋体" w:hAnsi="宋体"/>
          <w:b/>
          <w:kern w:val="0"/>
          <w:sz w:val="24"/>
        </w:rPr>
        <w:drawing>
          <wp:anchor distT="0" distB="0" distL="114300" distR="114300" simplePos="0" relativeHeight="251658240" behindDoc="0" locked="0" layoutInCell="1" allowOverlap="1">
            <wp:simplePos x="0" y="0"/>
            <wp:positionH relativeFrom="column">
              <wp:posOffset>3999865</wp:posOffset>
            </wp:positionH>
            <wp:positionV relativeFrom="paragraph">
              <wp:posOffset>20320</wp:posOffset>
            </wp:positionV>
            <wp:extent cx="954405" cy="45974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954405" cy="459740"/>
                    </a:xfrm>
                    <a:prstGeom prst="rect">
                      <a:avLst/>
                    </a:prstGeom>
                    <a:noFill/>
                    <a:ln>
                      <a:noFill/>
                    </a:ln>
                  </pic:spPr>
                </pic:pic>
              </a:graphicData>
            </a:graphic>
          </wp:anchor>
        </w:drawing>
      </w: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2021.1.9                                    </w:t>
      </w:r>
      <w:r>
        <w:rPr>
          <w:rFonts w:hint="eastAsia"/>
          <w:b w:val="0"/>
          <w:bCs/>
          <w:color w:val="000000" w:themeColor="text1"/>
          <w:sz w:val="22"/>
          <w:szCs w:val="22"/>
        </w:rPr>
        <w:t>日期：</w:t>
      </w:r>
      <w:r>
        <w:rPr>
          <w:rFonts w:hint="eastAsia"/>
          <w:b w:val="0"/>
          <w:bCs/>
          <w:color w:val="000000" w:themeColor="text1"/>
          <w:sz w:val="22"/>
          <w:szCs w:val="22"/>
          <w:lang w:val="en-US" w:eastAsia="zh-CN"/>
        </w:rPr>
        <w:t>2021.1.9</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1090" cy="8738235"/>
            <wp:effectExtent l="0" t="0" r="3810" b="12065"/>
            <wp:docPr id="3" name="图片 3" descr="微信图片_2021011310383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11310383820"/>
                    <pic:cNvPicPr>
                      <a:picLocks noChangeAspect="1"/>
                    </pic:cNvPicPr>
                  </pic:nvPicPr>
                  <pic:blipFill>
                    <a:blip r:embed="rId6"/>
                    <a:stretch>
                      <a:fillRect/>
                    </a:stretch>
                  </pic:blipFill>
                  <pic:spPr>
                    <a:xfrm>
                      <a:off x="0" y="0"/>
                      <a:ext cx="6181090" cy="873823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3B768"/>
    <w:multiLevelType w:val="singleLevel"/>
    <w:tmpl w:val="80F3B76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B116DF"/>
    <w:rsid w:val="3F107EE6"/>
    <w:rsid w:val="5F693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2021-01-19T09:01:21Z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