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rFonts w:hint="eastAsia" w:ascii="楷体" w:hAnsi="楷体" w:eastAsia="楷体"/>
          <w:color w:val="000000"/>
          <w:sz w:val="24"/>
          <w:szCs w:val="24"/>
        </w:rPr>
        <w:t>0715-2020-QEO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天津致通供应链管理有限公司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68"/>
        <w:gridCol w:w="326"/>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审核方名称</w:t>
            </w:r>
          </w:p>
        </w:tc>
        <w:tc>
          <w:tcPr>
            <w:tcW w:w="7681"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审核方地址</w:t>
            </w:r>
          </w:p>
        </w:tc>
        <w:tc>
          <w:tcPr>
            <w:tcW w:w="5176"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themeColor="text1"/>
                <w:sz w:val="20"/>
                <w:szCs w:val="20"/>
              </w:rPr>
              <w:t>北京市朝阳区北苑路168号1号楼16层1603</w:t>
            </w:r>
          </w:p>
        </w:tc>
        <w:tc>
          <w:tcPr>
            <w:tcW w:w="103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邮编</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联系电话</w:t>
            </w:r>
          </w:p>
        </w:tc>
        <w:tc>
          <w:tcPr>
            <w:tcW w:w="195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themeColor="text1"/>
                <w:sz w:val="20"/>
                <w:szCs w:val="20"/>
              </w:rPr>
              <w:t>010-</w:t>
            </w:r>
            <w:r>
              <w:rPr>
                <w:b/>
                <w:color w:val="000000"/>
                <w:sz w:val="20"/>
                <w:szCs w:val="20"/>
              </w:rPr>
              <w:t>53516258</w:t>
            </w:r>
          </w:p>
        </w:tc>
        <w:tc>
          <w:tcPr>
            <w:tcW w:w="105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传真</w:t>
            </w:r>
          </w:p>
        </w:tc>
        <w:tc>
          <w:tcPr>
            <w:tcW w:w="1501"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b/>
                <w:color w:val="000000" w:themeColor="text1"/>
                <w:sz w:val="20"/>
                <w:szCs w:val="20"/>
              </w:rPr>
              <w:t>010</w:t>
            </w:r>
            <w:r>
              <w:rPr>
                <w:rFonts w:hint="eastAsia"/>
                <w:b/>
                <w:color w:val="000000" w:themeColor="text1"/>
                <w:sz w:val="20"/>
                <w:szCs w:val="20"/>
              </w:rPr>
              <w:t>-</w:t>
            </w:r>
            <w:r>
              <w:rPr>
                <w:b/>
                <w:color w:val="000000"/>
                <w:sz w:val="20"/>
                <w:szCs w:val="20"/>
              </w:rPr>
              <w:t>53516258</w:t>
            </w:r>
          </w:p>
        </w:tc>
        <w:tc>
          <w:tcPr>
            <w:tcW w:w="66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邮箱</w:t>
            </w:r>
          </w:p>
        </w:tc>
        <w:tc>
          <w:tcPr>
            <w:tcW w:w="250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000000"/>
                <w:sz w:val="20"/>
                <w:szCs w:val="20"/>
              </w:rPr>
            </w:pPr>
            <w:r>
              <w:rPr>
                <w:rFonts w:hint="eastAsia"/>
                <w:b/>
                <w:color w:val="000000"/>
                <w:sz w:val="20"/>
                <w:szCs w:val="20"/>
              </w:rPr>
              <w:t>姓名</w:t>
            </w:r>
          </w:p>
        </w:tc>
        <w:tc>
          <w:tcPr>
            <w:tcW w:w="85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18"/>
                <w:szCs w:val="18"/>
              </w:rPr>
            </w:pPr>
            <w:r>
              <w:rPr>
                <w:rFonts w:hint="eastAsia"/>
                <w:sz w:val="18"/>
                <w:szCs w:val="18"/>
              </w:rPr>
              <w:t>组内</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000000"/>
                <w:sz w:val="20"/>
                <w:szCs w:val="20"/>
              </w:rPr>
            </w:pPr>
            <w:r>
              <w:rPr>
                <w:rFonts w:hint="eastAsia"/>
                <w:sz w:val="18"/>
                <w:szCs w:val="18"/>
              </w:rPr>
              <w:t>身份</w:t>
            </w: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000000"/>
                <w:sz w:val="20"/>
                <w:szCs w:val="20"/>
              </w:rPr>
            </w:pPr>
            <w:r>
              <w:rPr>
                <w:rFonts w:hint="eastAsia"/>
                <w:sz w:val="18"/>
                <w:szCs w:val="18"/>
              </w:rPr>
              <w:t>性别</w:t>
            </w:r>
          </w:p>
        </w:tc>
        <w:tc>
          <w:tcPr>
            <w:tcW w:w="3402"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000000"/>
                <w:sz w:val="20"/>
                <w:szCs w:val="20"/>
              </w:rPr>
            </w:pPr>
            <w:r>
              <w:rPr>
                <w:rFonts w:hint="eastAsia"/>
                <w:sz w:val="18"/>
                <w:szCs w:val="18"/>
              </w:rPr>
              <w:t>注册资格</w:t>
            </w:r>
          </w:p>
        </w:tc>
        <w:tc>
          <w:tcPr>
            <w:tcW w:w="21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rPr>
              <w:t>吉洁</w:t>
            </w:r>
          </w:p>
        </w:tc>
        <w:tc>
          <w:tcPr>
            <w:tcW w:w="85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rPr>
              <w:t>组长</w:t>
            </w: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rPr>
              <w:t>女</w:t>
            </w:r>
          </w:p>
        </w:tc>
        <w:tc>
          <w:tcPr>
            <w:tcW w:w="3402"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1"/>
                <w:szCs w:val="21"/>
              </w:rPr>
            </w:pPr>
            <w:r>
              <w:rPr>
                <w:sz w:val="21"/>
                <w:szCs w:val="21"/>
              </w:rPr>
              <w:t>Q:审核员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1"/>
                <w:szCs w:val="21"/>
              </w:rPr>
            </w:pPr>
            <w:r>
              <w:rPr>
                <w:sz w:val="21"/>
                <w:szCs w:val="21"/>
              </w:rPr>
              <w:t>E:审核员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sz w:val="21"/>
                <w:szCs w:val="21"/>
              </w:rPr>
              <w:t>O:审核员</w:t>
            </w:r>
          </w:p>
        </w:tc>
        <w:tc>
          <w:tcPr>
            <w:tcW w:w="21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rPr>
              <w:t>张鹏</w:t>
            </w:r>
          </w:p>
        </w:tc>
        <w:tc>
          <w:tcPr>
            <w:tcW w:w="85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rPr>
              <w:t>组员</w:t>
            </w: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rPr>
              <w:t>男</w:t>
            </w:r>
          </w:p>
        </w:tc>
        <w:tc>
          <w:tcPr>
            <w:tcW w:w="3402"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1"/>
                <w:szCs w:val="21"/>
              </w:rPr>
            </w:pPr>
            <w:r>
              <w:rPr>
                <w:sz w:val="21"/>
                <w:szCs w:val="21"/>
              </w:rPr>
              <w:t>Q:审核员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1"/>
                <w:szCs w:val="21"/>
              </w:rPr>
            </w:pPr>
            <w:r>
              <w:rPr>
                <w:sz w:val="21"/>
                <w:szCs w:val="21"/>
              </w:rPr>
              <w:t>E:审核员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sz w:val="21"/>
                <w:szCs w:val="21"/>
              </w:rPr>
              <w:t>O:审核员</w:t>
            </w:r>
          </w:p>
        </w:tc>
        <w:tc>
          <w:tcPr>
            <w:tcW w:w="21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rPr>
              <w:t>周文廷</w:t>
            </w:r>
          </w:p>
        </w:tc>
        <w:tc>
          <w:tcPr>
            <w:tcW w:w="85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rPr>
              <w:t>组员</w:t>
            </w: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rPr>
              <w:t>男</w:t>
            </w:r>
          </w:p>
        </w:tc>
        <w:tc>
          <w:tcPr>
            <w:tcW w:w="3402"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sz w:val="21"/>
                <w:szCs w:val="21"/>
              </w:rPr>
              <w:t>Q:审核员</w:t>
            </w:r>
          </w:p>
        </w:tc>
        <w:tc>
          <w:tcPr>
            <w:tcW w:w="21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rPr>
              <w:t>鞠殿铭</w:t>
            </w:r>
          </w:p>
        </w:tc>
        <w:tc>
          <w:tcPr>
            <w:tcW w:w="85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rPr>
              <w:t>组员</w:t>
            </w: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rPr>
              <w:t>男</w:t>
            </w:r>
          </w:p>
        </w:tc>
        <w:tc>
          <w:tcPr>
            <w:tcW w:w="3402"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1"/>
                <w:szCs w:val="21"/>
              </w:rPr>
            </w:pPr>
            <w:r>
              <w:rPr>
                <w:sz w:val="21"/>
                <w:szCs w:val="21"/>
              </w:rPr>
              <w:t>Q:专家</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1"/>
                <w:szCs w:val="21"/>
              </w:rPr>
            </w:pPr>
            <w:r>
              <w:rPr>
                <w:sz w:val="21"/>
                <w:szCs w:val="21"/>
              </w:rPr>
              <w:t>E:专家</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sz w:val="21"/>
                <w:szCs w:val="21"/>
              </w:rPr>
              <w:t>O:专家</w:t>
            </w:r>
          </w:p>
        </w:tc>
        <w:tc>
          <w:tcPr>
            <w:tcW w:w="21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1"/>
                <w:szCs w:val="21"/>
              </w:rPr>
            </w:pPr>
            <w:r>
              <w:rPr>
                <w:rFonts w:hint="eastAsia"/>
                <w:sz w:val="21"/>
                <w:szCs w:val="21"/>
              </w:rPr>
              <w:t>Q:31.04.01</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1"/>
                <w:szCs w:val="21"/>
              </w:rPr>
            </w:pPr>
            <w:r>
              <w:rPr>
                <w:rFonts w:hint="eastAsia"/>
                <w:sz w:val="21"/>
                <w:szCs w:val="21"/>
              </w:rPr>
              <w:t>E:31.04.01</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kern w:val="2"/>
                <w:sz w:val="21"/>
                <w:szCs w:val="21"/>
                <w:lang w:val="en-US" w:eastAsia="zh-CN" w:bidi="ar-SA"/>
              </w:rPr>
            </w:pPr>
            <w:r>
              <w:rPr>
                <w:rFonts w:hint="eastAsia"/>
                <w:sz w:val="21"/>
                <w:szCs w:val="21"/>
              </w:rPr>
              <w:t>O:31.04.01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姓名</w:t>
            </w:r>
          </w:p>
        </w:tc>
        <w:tc>
          <w:tcPr>
            <w:tcW w:w="85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性别</w:t>
            </w: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角色</w:t>
            </w:r>
          </w:p>
        </w:tc>
        <w:tc>
          <w:tcPr>
            <w:tcW w:w="3402"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r>
              <w:rPr>
                <w:rFonts w:hint="eastAsia"/>
                <w:b/>
                <w:color w:val="000000"/>
                <w:sz w:val="20"/>
                <w:szCs w:val="20"/>
              </w:rPr>
              <w:t>工作单位</w:t>
            </w:r>
          </w:p>
        </w:tc>
        <w:tc>
          <w:tcPr>
            <w:tcW w:w="21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rPr>
            </w:pPr>
          </w:p>
        </w:tc>
        <w:tc>
          <w:tcPr>
            <w:tcW w:w="141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rPr>
            </w:pPr>
          </w:p>
        </w:tc>
        <w:tc>
          <w:tcPr>
            <w:tcW w:w="3402"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rPr>
            </w:pPr>
          </w:p>
        </w:tc>
        <w:tc>
          <w:tcPr>
            <w:tcW w:w="21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质量管理体系,环境管理体系,职业健康安全管理体系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hAnsi="宋体"/>
          <w:b/>
          <w:color w:val="000000"/>
          <w:sz w:val="20"/>
          <w:szCs w:val="20"/>
          <w:lang w:val="de-DE"/>
        </w:rPr>
      </w:pPr>
      <w:bookmarkStart w:id="5" w:name="Q勾选Add1"/>
      <w:r>
        <w:rPr>
          <w:rFonts w:hint="eastAsia" w:ascii="宋体" w:hAnsi="宋体"/>
          <w:b/>
          <w:color w:val="000000"/>
          <w:sz w:val="20"/>
          <w:szCs w:val="20"/>
          <w:lang w:val="de-DE"/>
        </w:rPr>
        <w:t>■</w:t>
      </w:r>
      <w:bookmarkEnd w:id="5"/>
      <w:r>
        <w:rPr>
          <w:rFonts w:ascii="宋体" w:hAnsi="宋体"/>
          <w:b/>
          <w:color w:val="000000"/>
          <w:sz w:val="20"/>
          <w:szCs w:val="20"/>
          <w:lang w:val="de-DE"/>
        </w:rPr>
        <w:t>GB/T</w:t>
      </w:r>
      <w:r>
        <w:rPr>
          <w:rFonts w:hint="eastAsia" w:ascii="宋体" w:hAnsi="宋体"/>
          <w:b/>
          <w:color w:val="000000"/>
          <w:sz w:val="20"/>
          <w:szCs w:val="20"/>
          <w:lang w:val="en-US" w:eastAsia="zh-CN"/>
        </w:rPr>
        <w:t xml:space="preserve"> </w:t>
      </w:r>
      <w:r>
        <w:rPr>
          <w:rFonts w:ascii="宋体" w:hAnsi="宋体"/>
          <w:b/>
          <w:color w:val="000000"/>
          <w:sz w:val="20"/>
          <w:szCs w:val="20"/>
          <w:lang w:val="de-DE"/>
        </w:rPr>
        <w:t xml:space="preserve">19001-2016    </w:t>
      </w:r>
      <w:bookmarkStart w:id="6" w:name="E勾选Add1"/>
      <w:r>
        <w:rPr>
          <w:rFonts w:hint="eastAsia" w:ascii="宋体" w:hAnsi="宋体"/>
          <w:b/>
          <w:color w:val="000000"/>
          <w:sz w:val="20"/>
          <w:szCs w:val="20"/>
          <w:lang w:val="de-DE"/>
        </w:rPr>
        <w:t>■</w:t>
      </w:r>
      <w:bookmarkEnd w:id="6"/>
      <w:r>
        <w:rPr>
          <w:rFonts w:ascii="宋体" w:hAnsi="宋体"/>
          <w:b/>
          <w:color w:val="000000"/>
          <w:sz w:val="20"/>
          <w:szCs w:val="20"/>
          <w:lang w:val="de-DE"/>
        </w:rPr>
        <w:t>GB/T</w:t>
      </w:r>
      <w:r>
        <w:rPr>
          <w:rFonts w:hint="eastAsia" w:ascii="宋体" w:hAnsi="宋体"/>
          <w:b/>
          <w:color w:val="000000"/>
          <w:sz w:val="20"/>
          <w:szCs w:val="20"/>
          <w:lang w:val="en-US" w:eastAsia="zh-CN"/>
        </w:rPr>
        <w:t xml:space="preserve"> </w:t>
      </w:r>
      <w:r>
        <w:rPr>
          <w:rFonts w:ascii="宋体" w:hAnsi="宋体"/>
          <w:b/>
          <w:color w:val="000000"/>
          <w:sz w:val="20"/>
          <w:szCs w:val="20"/>
          <w:lang w:val="de-DE"/>
        </w:rPr>
        <w:t>24001-2016</w:t>
      </w:r>
      <w:bookmarkStart w:id="7"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7"/>
      <w:r>
        <w:rPr>
          <w:rFonts w:ascii="宋体" w:hAnsi="宋体"/>
          <w:b/>
          <w:color w:val="000000"/>
          <w:sz w:val="20"/>
          <w:szCs w:val="20"/>
          <w:lang w:val="de-DE"/>
        </w:rPr>
        <w:t>GB/</w:t>
      </w:r>
      <w:r>
        <w:rPr>
          <w:rFonts w:hint="eastAsia" w:ascii="宋体" w:hAnsi="宋体"/>
          <w:b/>
          <w:color w:val="000000"/>
          <w:sz w:val="20"/>
          <w:szCs w:val="20"/>
          <w:lang w:val="en-US" w:eastAsia="zh-CN"/>
        </w:rPr>
        <w:t>T 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757"/>
        <w:gridCol w:w="1010"/>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r>
              <w:rPr>
                <w:rFonts w:hint="eastAsia" w:ascii="宋体"/>
                <w:b/>
                <w:color w:val="000000"/>
                <w:sz w:val="20"/>
                <w:szCs w:val="20"/>
                <w:lang w:eastAsia="zh-CN"/>
              </w:rPr>
              <w:t>天津致通供应链管理有限公司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注册地址</w:t>
            </w:r>
          </w:p>
        </w:tc>
        <w:tc>
          <w:tcPr>
            <w:tcW w:w="4269"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bookmarkStart w:id="8" w:name="注册地址"/>
            <w:r>
              <w:t>天津自贸试验区（空港经济区）颐景公寓7-2-201</w:t>
            </w:r>
            <w:bookmarkEnd w:id="8"/>
          </w:p>
        </w:tc>
        <w:tc>
          <w:tcPr>
            <w:tcW w:w="1010"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b/>
                <w:color w:val="000000"/>
                <w:sz w:val="20"/>
                <w:szCs w:val="20"/>
              </w:rPr>
              <w:t>邮编</w:t>
            </w:r>
          </w:p>
        </w:tc>
        <w:tc>
          <w:tcPr>
            <w:tcW w:w="221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eastAsia="宋体"/>
                <w:b/>
                <w:color w:val="000000"/>
                <w:sz w:val="20"/>
                <w:szCs w:val="20"/>
                <w:lang w:val="en-US" w:eastAsia="zh-CN"/>
              </w:rPr>
            </w:pPr>
            <w:bookmarkStart w:id="9" w:name="生产邮编"/>
            <w:r>
              <w:rPr>
                <w:b w:val="0"/>
                <w:bCs/>
                <w:color w:val="000000" w:themeColor="text1"/>
                <w:sz w:val="22"/>
                <w:szCs w:val="22"/>
              </w:rPr>
              <w:t>300000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经营地址</w:t>
            </w:r>
          </w:p>
        </w:tc>
        <w:tc>
          <w:tcPr>
            <w:tcW w:w="4269"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bookmarkStart w:id="10" w:name="经营地址"/>
            <w:bookmarkEnd w:id="10"/>
            <w:r>
              <w:rPr>
                <w:rFonts w:hint="eastAsia"/>
                <w:sz w:val="21"/>
                <w:szCs w:val="21"/>
                <w:lang w:eastAsia="zh-CN"/>
              </w:rPr>
              <w:t>天津滨海新区新村街美晨大厦10楼1001</w:t>
            </w:r>
          </w:p>
        </w:tc>
        <w:tc>
          <w:tcPr>
            <w:tcW w:w="101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p>
        </w:tc>
        <w:tc>
          <w:tcPr>
            <w:tcW w:w="221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eastAsia="宋体"/>
                <w:b/>
                <w:color w:val="000000"/>
                <w:sz w:val="20"/>
                <w:szCs w:val="20"/>
                <w:lang w:val="en-US" w:eastAsia="zh-CN"/>
              </w:rPr>
            </w:pPr>
            <w:bookmarkStart w:id="11" w:name="经营邮编"/>
            <w:bookmarkEnd w:id="11"/>
            <w:r>
              <w:rPr>
                <w:b w:val="0"/>
                <w:bCs/>
                <w:color w:val="000000" w:themeColor="text1"/>
                <w:sz w:val="22"/>
                <w:szCs w:val="22"/>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联系人</w:t>
            </w:r>
          </w:p>
        </w:tc>
        <w:tc>
          <w:tcPr>
            <w:tcW w:w="104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bookmarkStart w:id="12" w:name="联系人"/>
            <w:r>
              <w:rPr>
                <w:sz w:val="21"/>
                <w:szCs w:val="21"/>
              </w:rPr>
              <w:t>周建基</w:t>
            </w:r>
            <w:bookmarkEnd w:id="12"/>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b/>
                <w:color w:val="000000"/>
                <w:sz w:val="20"/>
                <w:szCs w:val="20"/>
              </w:rPr>
              <w:t>电话</w:t>
            </w:r>
          </w:p>
        </w:tc>
        <w:tc>
          <w:tcPr>
            <w:tcW w:w="175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bookmarkStart w:id="13" w:name="联系人电话"/>
            <w:r>
              <w:rPr>
                <w:sz w:val="21"/>
                <w:szCs w:val="21"/>
              </w:rPr>
              <w:t>13810387360</w:t>
            </w:r>
            <w:bookmarkEnd w:id="13"/>
          </w:p>
        </w:tc>
        <w:tc>
          <w:tcPr>
            <w:tcW w:w="1010"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b/>
                <w:color w:val="000000"/>
                <w:sz w:val="20"/>
                <w:szCs w:val="20"/>
              </w:rPr>
              <w:t>传真</w:t>
            </w:r>
          </w:p>
        </w:tc>
        <w:tc>
          <w:tcPr>
            <w:tcW w:w="221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b/>
                <w:color w:val="000000"/>
                <w:sz w:val="20"/>
                <w:szCs w:val="20"/>
                <w:lang w:val="en-US"/>
              </w:rPr>
            </w:pPr>
            <w:bookmarkStart w:id="14" w:name="联系人传真Add1"/>
            <w:bookmarkEnd w:id="14"/>
            <w:r>
              <w:rPr>
                <w:rFonts w:hint="eastAsia" w:ascii="宋体" w:hAnsi="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r>
              <w:rPr>
                <w:sz w:val="21"/>
                <w:szCs w:val="21"/>
              </w:rPr>
              <w:t>周建基</w:t>
            </w:r>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b/>
                <w:color w:val="000000"/>
                <w:sz w:val="20"/>
                <w:szCs w:val="20"/>
              </w:rPr>
              <w:t>管理者代表</w:t>
            </w:r>
          </w:p>
        </w:tc>
        <w:tc>
          <w:tcPr>
            <w:tcW w:w="175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eastAsia="宋体"/>
                <w:b/>
                <w:color w:val="000000"/>
                <w:sz w:val="20"/>
                <w:szCs w:val="20"/>
                <w:lang w:val="en-US" w:eastAsia="zh-CN"/>
              </w:rPr>
            </w:pPr>
            <w:r>
              <w:rPr>
                <w:rFonts w:hint="eastAsia"/>
                <w:sz w:val="21"/>
                <w:szCs w:val="21"/>
              </w:rPr>
              <w:t xml:space="preserve">刘晓利 </w:t>
            </w:r>
          </w:p>
        </w:tc>
        <w:tc>
          <w:tcPr>
            <w:tcW w:w="1010"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b/>
                <w:color w:val="000000"/>
                <w:sz w:val="20"/>
                <w:szCs w:val="20"/>
              </w:rPr>
              <w:t>邮箱</w:t>
            </w:r>
          </w:p>
        </w:tc>
        <w:tc>
          <w:tcPr>
            <w:tcW w:w="221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bookmarkStart w:id="15" w:name="联系人邮箱Add1"/>
            <w:bookmarkEnd w:id="15"/>
            <w:bookmarkStart w:id="16" w:name="联系人邮箱"/>
            <w:r>
              <w:rPr>
                <w:sz w:val="21"/>
                <w:szCs w:val="21"/>
              </w:rPr>
              <w:t>zhoujianji@263.net</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b/>
                <w:color w:val="000000"/>
                <w:sz w:val="20"/>
                <w:szCs w:val="20"/>
                <w:lang w:val="en-US" w:eastAsia="zh-CN"/>
              </w:rPr>
              <w:t>2020年9月1日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color w:val="000000"/>
                <w:szCs w:val="21"/>
              </w:rPr>
            </w:pPr>
            <w:bookmarkStart w:id="17" w:name="审核范围"/>
            <w:r>
              <w:rPr>
                <w:rFonts w:hint="eastAsia" w:ascii="宋体" w:hAnsi="宋体"/>
                <w:szCs w:val="21"/>
              </w:rPr>
              <w:t>Q：普通货运、货物专用运输（集装箱）、大型物件运输（限许可范围内）</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szCs w:val="21"/>
              </w:rPr>
            </w:pPr>
            <w:r>
              <w:rPr>
                <w:rFonts w:hint="eastAsia" w:ascii="宋体" w:hAnsi="宋体"/>
                <w:szCs w:val="21"/>
              </w:rPr>
              <w:t>E：普通货运、货物专用运输（集装箱）、大型物件运输（限许可范围内）所涉及场所的相关环境管理活动</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sz w:val="20"/>
                <w:szCs w:val="20"/>
              </w:rPr>
            </w:pPr>
            <w:r>
              <w:rPr>
                <w:rFonts w:hint="eastAsia" w:ascii="宋体" w:hAnsi="宋体"/>
                <w:szCs w:val="21"/>
              </w:rPr>
              <w:t>O：普通货运、货物专用运输（集装箱）、大型物件运输（限许可范围内）所涉及场所的相关职业健康安全管理活动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sz w:val="21"/>
                <w:szCs w:val="21"/>
              </w:rPr>
              <w:t>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 w:val="20"/>
                <w:szCs w:val="20"/>
                <w:lang w:val="en-US" w:eastAsia="zh-CN"/>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r>
              <w:rPr>
                <w:rFonts w:hint="eastAsia" w:ascii="宋体"/>
                <w:b/>
                <w:color w:val="00000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b/>
                <w:color w:val="000000"/>
                <w:sz w:val="20"/>
                <w:szCs w:val="20"/>
                <w:lang w:val="en-US" w:eastAsia="zh-CN"/>
              </w:rPr>
              <w:t>无</w:t>
            </w:r>
          </w:p>
        </w:tc>
      </w:tr>
    </w:tbl>
    <w:p>
      <w:pPr>
        <w:snapToGrid w:val="0"/>
        <w:spacing w:beforeLines="50"/>
        <w:ind w:firstLine="282" w:firstLineChars="115"/>
        <w:rPr>
          <w:rFonts w:hint="eastAsia" w:ascii="宋体" w:eastAsia="宋体"/>
          <w:b/>
          <w:color w:val="000000"/>
          <w:szCs w:val="21"/>
          <w:lang w:eastAsia="zh-CN"/>
        </w:rPr>
      </w:pPr>
      <w:r>
        <w:rPr>
          <w:rFonts w:hint="eastAsia" w:ascii="宋体" w:hAnsi="宋体"/>
          <w:b/>
          <w:color w:val="000000"/>
          <w:spacing w:val="-8"/>
          <w:sz w:val="26"/>
          <w:szCs w:val="26"/>
        </w:rPr>
        <w:t>五、审核活动综述</w:t>
      </w:r>
      <w:r>
        <w:rPr>
          <w:rFonts w:hint="eastAsia" w:ascii="宋体" w:hAnsi="宋体"/>
          <w:b/>
          <w:color w:val="000000"/>
          <w:spacing w:val="-8"/>
          <w:sz w:val="26"/>
          <w:szCs w:val="26"/>
          <w:lang w:eastAsia="zh-CN"/>
        </w:rPr>
        <w:t>（</w:t>
      </w:r>
      <w:r>
        <w:rPr>
          <w:rFonts w:hint="eastAsia" w:ascii="宋体" w:hAnsi="宋体"/>
          <w:b/>
          <w:color w:val="000000"/>
          <w:spacing w:val="-8"/>
          <w:sz w:val="26"/>
          <w:szCs w:val="26"/>
          <w:lang w:val="en-US" w:eastAsia="zh-CN"/>
        </w:rPr>
        <w:t>远程审核</w:t>
      </w:r>
      <w:r>
        <w:rPr>
          <w:rFonts w:hint="eastAsia" w:ascii="宋体" w:hAnsi="宋体"/>
          <w:b/>
          <w:color w:val="000000"/>
          <w:spacing w:val="-8"/>
          <w:sz w:val="26"/>
          <w:szCs w:val="26"/>
          <w:lang w:eastAsia="zh-CN"/>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文件</w:t>
      </w:r>
      <w:r>
        <w:rPr>
          <w:rFonts w:hint="eastAsia" w:ascii="宋体" w:hAnsi="宋体"/>
          <w:b/>
          <w:color w:val="000000"/>
          <w:sz w:val="20"/>
          <w:szCs w:val="20"/>
          <w:lang w:val="en-US" w:eastAsia="zh-CN"/>
        </w:rPr>
        <w:t>审核报告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为远程审核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lang w:val="en-US" w:eastAsia="zh-CN"/>
        </w:rPr>
        <w:t>相关</w:t>
      </w:r>
      <w:r>
        <w:rPr>
          <w:rFonts w:hint="eastAsia" w:ascii="宋体" w:hAnsi="宋体"/>
          <w:b/>
          <w:color w:val="000000"/>
          <w:sz w:val="20"/>
          <w:szCs w:val="20"/>
        </w:rPr>
        <w:t>信息</w:t>
      </w:r>
      <w:r>
        <w:rPr>
          <w:rFonts w:hint="eastAsia" w:ascii="宋体" w:hAnsi="宋体"/>
          <w:b/>
          <w:color w:val="000000"/>
          <w:sz w:val="20"/>
          <w:szCs w:val="20"/>
          <w:lang w:val="en-US" w:eastAsia="zh-CN"/>
        </w:rPr>
        <w:t>通过视频/电话沟通、电子版文件传输方式获得</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w:t>
      </w:r>
      <w:r>
        <w:rPr>
          <w:rFonts w:hint="eastAsia" w:ascii="宋体" w:hAnsi="宋体"/>
          <w:b/>
          <w:color w:val="000000"/>
          <w:spacing w:val="-4"/>
          <w:sz w:val="20"/>
          <w:szCs w:val="20"/>
          <w:lang w:val="en-US" w:eastAsia="zh-CN"/>
        </w:rPr>
        <w:t>审核</w:t>
      </w:r>
      <w:r>
        <w:rPr>
          <w:rFonts w:hint="eastAsia" w:ascii="宋体" w:hAnsi="宋体"/>
          <w:b/>
          <w:color w:val="000000"/>
          <w:spacing w:val="-4"/>
          <w:sz w:val="20"/>
          <w:szCs w:val="20"/>
        </w:rPr>
        <w:t>报告。</w:t>
      </w:r>
    </w:p>
    <w:p>
      <w:pPr>
        <w:spacing w:line="300" w:lineRule="auto"/>
        <w:ind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一阶段审核巡视了以下部门和场所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管理层、运营部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sz w:val="21"/>
          <w:szCs w:val="21"/>
          <w:lang w:eastAsia="zh-CN"/>
        </w:rPr>
        <w:t>天津滨海新区新村街美晨大厦10楼1001</w:t>
      </w:r>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lang w:val="en-US" w:eastAsia="zh-CN"/>
        </w:rPr>
        <w:t>见</w:t>
      </w:r>
      <w:r>
        <w:rPr>
          <w:rFonts w:hint="eastAsia" w:ascii="宋体" w:hAnsi="宋体"/>
          <w:b/>
          <w:color w:val="000000"/>
          <w:sz w:val="20"/>
          <w:szCs w:val="20"/>
        </w:rPr>
        <w:t>附</w:t>
      </w:r>
      <w:r>
        <w:rPr>
          <w:rFonts w:ascii="宋体" w:hAnsi="宋体"/>
          <w:b/>
          <w:color w:val="000000"/>
          <w:sz w:val="20"/>
          <w:szCs w:val="20"/>
        </w:rPr>
        <w:t>(</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jc w:val="both"/>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tabs>
                <w:tab w:val="left" w:pos="360"/>
              </w:tabs>
              <w:jc w:val="left"/>
              <w:rPr>
                <w:rFonts w:ascii="宋体"/>
                <w:b/>
                <w:color w:val="000000"/>
                <w:sz w:val="20"/>
                <w:szCs w:val="20"/>
              </w:rPr>
            </w:pPr>
            <w:r>
              <w:rPr>
                <w:rFonts w:hint="eastAsia" w:ascii="宋体" w:hAnsi="宋体"/>
                <w:szCs w:val="21"/>
              </w:rPr>
              <w:t>普通货运、货物专用运输（集装箱）、大型物件运输（限许可范围内）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运营部、市场部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运营部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运营部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运营部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运营部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sz w:val="21"/>
                <w:szCs w:val="21"/>
                <w:lang w:eastAsia="zh-CN"/>
              </w:rPr>
              <w:t>天津滨海新区新村街美晨大厦10楼1001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r>
              <w:rPr>
                <w:rFonts w:hint="eastAsia" w:ascii="宋体" w:hAnsi="宋体" w:cs="Times New Roman"/>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sz w:val="21"/>
                <w:szCs w:val="21"/>
                <w:lang w:eastAsia="zh-CN"/>
              </w:rPr>
              <w:t>天津滨海新区新村街美晨大厦10楼1001</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w:t>
            </w:r>
            <w:r>
              <w:rPr>
                <w:rFonts w:hint="eastAsia" w:ascii="宋体" w:hAnsi="宋体"/>
                <w:color w:val="000000"/>
                <w:sz w:val="20"/>
                <w:szCs w:val="20"/>
                <w:lang w:val="en-US" w:eastAsia="zh-CN"/>
              </w:rPr>
              <w:t>购</w:t>
            </w:r>
            <w:r>
              <w:rPr>
                <w:rFonts w:hint="eastAsia" w:ascii="宋体" w:hAnsi="宋体"/>
                <w:color w:val="000000"/>
                <w:sz w:val="20"/>
                <w:szCs w:val="20"/>
              </w:rPr>
              <w:t>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1</w:t>
            </w:r>
            <w:r>
              <w:rPr>
                <w:rFonts w:hint="eastAsia" w:ascii="宋体" w:hAnsi="宋体"/>
                <w:color w:val="000000"/>
                <w:sz w:val="20"/>
                <w:szCs w:val="20"/>
              </w:rPr>
              <w:t>种</w:t>
            </w:r>
            <w:r>
              <w:rPr>
                <w:rFonts w:hint="eastAsia" w:ascii="宋体" w:hAnsi="宋体"/>
                <w:color w:val="000000"/>
                <w:sz w:val="20"/>
                <w:szCs w:val="20"/>
                <w:lang w:val="en-US" w:eastAsia="zh-CN"/>
              </w:rPr>
              <w:t>服务</w:t>
            </w:r>
            <w:r>
              <w:rPr>
                <w:rFonts w:hint="eastAsia" w:ascii="宋体" w:hAnsi="宋体"/>
                <w:color w:val="000000"/>
                <w:sz w:val="20"/>
                <w:szCs w:val="20"/>
              </w:rPr>
              <w:t>，</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lang w:eastAsia="zh-CN"/>
              </w:rPr>
              <w:t>□</w:t>
            </w:r>
            <w:r>
              <w:rPr>
                <w:rFonts w:hint="eastAsia" w:ascii="宋体" w:hAnsi="宋体"/>
                <w:color w:val="000000"/>
                <w:sz w:val="20"/>
                <w:szCs w:val="20"/>
              </w:rPr>
              <w:t>倒班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楷体" w:hAnsi="楷体" w:eastAsia="楷体"/>
                <w:color w:val="000000"/>
                <w:szCs w:val="21"/>
              </w:rPr>
              <w:t>道路运输经营许可证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楷体" w:hAnsi="楷体" w:eastAsia="楷体"/>
              </w:rPr>
              <w:t>《物流服务合同准则》（GB/T 30333-2013、</w:t>
            </w:r>
            <w:r>
              <w:rPr>
                <w:rFonts w:ascii="楷体" w:hAnsi="楷体" w:eastAsia="楷体" w:cs="Arial"/>
                <w:color w:val="191919"/>
                <w:shd w:val="clear" w:color="auto" w:fill="FFFFFF"/>
              </w:rPr>
              <w:t>《物流单证基本要求》（GB/T33449-2016）、《公路物流主要单证要素要求》（GB/T33458-2016）</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环境执行标准：</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执行标准：</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接受订单—</w:t>
            </w:r>
            <w:r>
              <w:rPr>
                <w:rFonts w:hint="eastAsia" w:ascii="宋体" w:hAnsi="宋体"/>
                <w:color w:val="000000"/>
                <w:sz w:val="20"/>
                <w:szCs w:val="20"/>
                <w:lang w:val="zh-CN"/>
              </w:rPr>
              <w:t>订单分配—计划调度—指定地点接货—车辆运输—客户回单签收—信息反馈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运输服务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hAnsi="宋体"/>
                <w:color w:val="000000"/>
                <w:sz w:val="20"/>
                <w:szCs w:val="20"/>
              </w:rPr>
              <w:t>针对关键过程建立的控制文件有：《运输服务程序》、《顾客满意度调查制度》、《服务质量检查制度》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运输服务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pacing w:val="-10"/>
                <w:sz w:val="20"/>
                <w:szCs w:val="20"/>
                <w:lang w:val="en-US" w:eastAsia="zh-CN"/>
              </w:rPr>
            </w:pPr>
            <w:r>
              <w:rPr>
                <w:rFonts w:hint="eastAsia" w:ascii="宋体" w:hAnsi="宋体"/>
                <w:color w:val="000000"/>
                <w:sz w:val="20"/>
                <w:szCs w:val="20"/>
              </w:rPr>
              <w:t>外包过程：</w:t>
            </w:r>
            <w:r>
              <w:rPr>
                <w:rFonts w:hint="eastAsia" w:ascii="宋体" w:hAnsi="宋体"/>
                <w:color w:val="000000"/>
                <w:sz w:val="20"/>
                <w:szCs w:val="20"/>
                <w:lang w:val="en-US" w:eastAsia="zh-CN"/>
              </w:rPr>
              <w:t>车辆维修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电脑、一体机、电话等办公设备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100平米</w:t>
            </w:r>
            <w:r>
              <w:rPr>
                <w:rFonts w:hint="eastAsia"/>
                <w:sz w:val="21"/>
                <w:szCs w:val="21"/>
                <w:lang w:val="en-US" w:eastAsia="zh-CN"/>
              </w:rPr>
              <w:t>，</w:t>
            </w:r>
            <w:r>
              <w:rPr>
                <w:rFonts w:hint="eastAsia"/>
                <w:sz w:val="21"/>
                <w:szCs w:val="21"/>
                <w:lang w:eastAsia="zh-CN"/>
              </w:rPr>
              <w:t>布局合理，场所卫生干净整洁，工作环境良好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sz w:val="21"/>
                <w:szCs w:val="21"/>
              </w:rPr>
              <w:t>固体废弃物排放、火灾的发生</w:t>
            </w:r>
            <w:r>
              <w:rPr>
                <w:rFonts w:hint="eastAsia"/>
                <w:sz w:val="21"/>
                <w:szCs w:val="21"/>
                <w:lang w:eastAsia="zh-CN"/>
              </w:rPr>
              <w:t>、</w:t>
            </w:r>
            <w:r>
              <w:rPr>
                <w:rFonts w:hint="eastAsia"/>
                <w:sz w:val="21"/>
                <w:szCs w:val="21"/>
                <w:lang w:val="en-US" w:eastAsia="zh-CN"/>
              </w:rPr>
              <w:t>车辆尾气排放</w:t>
            </w:r>
            <w:bookmarkStart w:id="18" w:name="_GoBack"/>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sz w:val="21"/>
                <w:szCs w:val="21"/>
              </w:rPr>
              <w:t>火灾、触电</w:t>
            </w:r>
            <w:r>
              <w:rPr>
                <w:rFonts w:hint="eastAsia"/>
                <w:sz w:val="21"/>
                <w:szCs w:val="21"/>
                <w:lang w:eastAsia="zh-CN"/>
              </w:rPr>
              <w:t>、</w:t>
            </w:r>
            <w:r>
              <w:rPr>
                <w:rFonts w:hint="eastAsia"/>
                <w:sz w:val="21"/>
                <w:szCs w:val="21"/>
                <w:lang w:val="en-US" w:eastAsia="zh-CN"/>
              </w:rPr>
              <w:t>交通伤害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p>
        </w:tc>
      </w:tr>
    </w:tbl>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4</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after="62" w:afterLines="20" w:line="360" w:lineRule="exact"/>
        <w:ind w:firstLine="257" w:firstLineChars="100"/>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运营部、市场部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与顾客有关过程、生产和服务提供过程、产品和服务的放行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运营部、市场部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运营部、市场部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dxa"/>
            <w:vMerge w:val="restart"/>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val="0"/>
                <w:bCs/>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val="0"/>
                <w:bCs/>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了解内审结论</w:t>
            </w:r>
            <w:r>
              <w:rPr>
                <w:rFonts w:hint="eastAsia" w:ascii="宋体" w:hAnsi="宋体"/>
                <w:b/>
                <w:color w:val="000000"/>
                <w:sz w:val="20"/>
                <w:szCs w:val="20"/>
                <w:lang w:eastAsia="zh-CN"/>
              </w:rPr>
              <w:t>：</w:t>
            </w:r>
            <w:r>
              <w:rPr>
                <w:rFonts w:hint="eastAsia" w:ascii="宋体" w:hAnsi="宋体"/>
                <w:b w:val="0"/>
                <w:bCs/>
                <w:color w:val="000000"/>
                <w:sz w:val="20"/>
                <w:szCs w:val="20"/>
                <w:lang w:eastAsia="zh-CN"/>
              </w:rPr>
              <w:t>审核组认为本公司建立的管理体系基本符合GB/T19001-2016标准、GB/T24001-2016和ISO45001:2018标准的要求，且运行有效。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76"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w:t>
            </w:r>
            <w:r>
              <w:rPr>
                <w:rFonts w:ascii="宋体" w:hAnsi="宋体"/>
                <w:b w:val="0"/>
                <w:bCs/>
                <w:color w:val="000000"/>
                <w:sz w:val="20"/>
                <w:szCs w:val="20"/>
              </w:rPr>
              <w:t xml:space="preserve"> </w:t>
            </w:r>
            <w:r>
              <w:rPr>
                <w:rFonts w:hint="eastAsia" w:ascii="宋体" w:hAnsi="宋体"/>
                <w:b w:val="0"/>
                <w:bCs/>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val="0"/>
                <w:bCs/>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了解管理评审结论</w:t>
            </w:r>
            <w:r>
              <w:rPr>
                <w:rFonts w:ascii="宋体" w:hAnsi="宋体"/>
                <w:b/>
                <w:color w:val="000000"/>
                <w:sz w:val="20"/>
                <w:szCs w:val="20"/>
              </w:rPr>
              <w:t>;</w:t>
            </w:r>
            <w:r>
              <w:rPr>
                <w:rFonts w:hint="eastAsia" w:ascii="宋体" w:hAnsi="宋体"/>
                <w:b w:val="0"/>
                <w:bCs/>
                <w:color w:val="000000"/>
                <w:sz w:val="20"/>
                <w:szCs w:val="20"/>
              </w:rPr>
              <w:t>本公司质量、环境和职业健康安全管理体系已建立并得到充分、有效、适宜的运行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97" w:type="dxa"/>
            <w:gridSpan w:val="2"/>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b/>
                <w:color w:val="000000"/>
                <w:szCs w:val="21"/>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color w:val="000000"/>
          <w:szCs w:val="21"/>
        </w:rPr>
      </w:pPr>
      <w:r>
        <w:rPr>
          <w:rFonts w:hint="eastAsia" w:ascii="宋体" w:hAnsi="宋体"/>
          <w:szCs w:val="21"/>
        </w:rPr>
        <w:t>Q：普通货运、货物专用运输（集装箱）、大型物件运输（限许可范围内）</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szCs w:val="21"/>
        </w:rPr>
      </w:pPr>
      <w:r>
        <w:rPr>
          <w:rFonts w:hint="eastAsia" w:ascii="宋体" w:hAnsi="宋体"/>
          <w:szCs w:val="21"/>
        </w:rPr>
        <w:t>E：普通货运、货物专用运输（集装箱）、大型物件运输（限许可范围内）所涉及场所的相关环境管理活动</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sz w:val="21"/>
          <w:szCs w:val="21"/>
        </w:rPr>
      </w:pPr>
      <w:r>
        <w:rPr>
          <w:rFonts w:hint="eastAsia" w:ascii="宋体" w:hAnsi="宋体"/>
          <w:szCs w:val="21"/>
        </w:rPr>
        <w:t>O：普通货运、货物专用运输（集装箱）、大型物件运输（限许可范围内）所涉及场所的相关职业健康安全管理活动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10" w:firstLineChars="100"/>
        <w:rPr>
          <w:rFonts w:ascii="宋体"/>
          <w:b/>
          <w:bCs/>
          <w:color w:val="000000"/>
          <w:sz w:val="26"/>
          <w:szCs w:val="26"/>
        </w:rPr>
      </w:pPr>
      <w:r>
        <w:rPr>
          <w:rFonts w:hint="eastAsia" w:eastAsia="宋体"/>
          <w:b w:val="0"/>
          <w:bCs w:val="0"/>
          <w:sz w:val="21"/>
          <w:szCs w:val="21"/>
          <w:lang w:eastAsia="zh-CN"/>
        </w:rPr>
        <w:drawing>
          <wp:anchor distT="0" distB="0" distL="114300" distR="114300" simplePos="0" relativeHeight="251658240" behindDoc="0" locked="0" layoutInCell="1" allowOverlap="1">
            <wp:simplePos x="0" y="0"/>
            <wp:positionH relativeFrom="column">
              <wp:posOffset>1738630</wp:posOffset>
            </wp:positionH>
            <wp:positionV relativeFrom="paragraph">
              <wp:posOffset>189230</wp:posOffset>
            </wp:positionV>
            <wp:extent cx="950595" cy="45783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50595" cy="457835"/>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00" w:firstLineChars="400"/>
        <w:rPr>
          <w:rFonts w:hint="eastAsia" w:ascii="宋体" w:hAnsi="宋体"/>
          <w:b/>
          <w:color w:val="000000"/>
        </w:rPr>
      </w:pPr>
      <w:r>
        <w:rPr>
          <w:sz w:val="20"/>
        </w:rPr>
        <w:drawing>
          <wp:anchor distT="0" distB="0" distL="0" distR="0" simplePos="0" relativeHeight="251675648" behindDoc="0" locked="0" layoutInCell="1" allowOverlap="1">
            <wp:simplePos x="0" y="0"/>
            <wp:positionH relativeFrom="column">
              <wp:posOffset>4077335</wp:posOffset>
            </wp:positionH>
            <wp:positionV relativeFrom="paragraph">
              <wp:posOffset>191135</wp:posOffset>
            </wp:positionV>
            <wp:extent cx="858520" cy="363220"/>
            <wp:effectExtent l="0" t="0" r="5080" b="508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58520" cy="363220"/>
                    </a:xfrm>
                    <a:prstGeom prst="rect">
                      <a:avLst/>
                    </a:prstGeom>
                    <a:noFill/>
                  </pic:spPr>
                </pic:pic>
              </a:graphicData>
            </a:graphic>
          </wp:anchor>
        </w:drawing>
      </w:r>
      <w:r>
        <w:drawing>
          <wp:anchor distT="0" distB="0" distL="114300" distR="114300" simplePos="0" relativeHeight="251680768" behindDoc="0" locked="0" layoutInCell="1" allowOverlap="1">
            <wp:simplePos x="0" y="0"/>
            <wp:positionH relativeFrom="column">
              <wp:posOffset>2891790</wp:posOffset>
            </wp:positionH>
            <wp:positionV relativeFrom="paragraph">
              <wp:posOffset>183515</wp:posOffset>
            </wp:positionV>
            <wp:extent cx="1066800" cy="425450"/>
            <wp:effectExtent l="0" t="0" r="0" b="635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8"/>
                    <a:stretch>
                      <a:fillRect/>
                    </a:stretch>
                  </pic:blipFill>
                  <pic:spPr>
                    <a:xfrm>
                      <a:off x="0" y="0"/>
                      <a:ext cx="1066800" cy="425450"/>
                    </a:xfrm>
                    <a:prstGeom prst="rect">
                      <a:avLst/>
                    </a:prstGeom>
                    <a:noFill/>
                    <a:ln>
                      <a:noFill/>
                    </a:ln>
                  </pic:spPr>
                </pic:pic>
              </a:graphicData>
            </a:graphic>
          </wp:anchor>
        </w:drawing>
      </w:r>
      <w:r>
        <w:rPr>
          <w:rFonts w:hint="eastAsia" w:ascii="宋体" w:eastAsia="宋体"/>
          <w:b/>
          <w:color w:val="000000"/>
          <w:lang w:eastAsia="zh-CN"/>
        </w:rPr>
        <w:drawing>
          <wp:anchor distT="0" distB="0" distL="114300" distR="114300" simplePos="0" relativeHeight="251678720" behindDoc="0" locked="0" layoutInCell="1" allowOverlap="1">
            <wp:simplePos x="0" y="0"/>
            <wp:positionH relativeFrom="column">
              <wp:posOffset>1772285</wp:posOffset>
            </wp:positionH>
            <wp:positionV relativeFrom="paragraph">
              <wp:posOffset>219710</wp:posOffset>
            </wp:positionV>
            <wp:extent cx="1007110" cy="440055"/>
            <wp:effectExtent l="0" t="0" r="8890" b="4445"/>
            <wp:wrapNone/>
            <wp:docPr id="5" name="图片 3" descr="032f67c90857df5b6493e827f97d2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032f67c90857df5b6493e827f97d2b6"/>
                    <pic:cNvPicPr>
                      <a:picLocks noChangeAspect="1"/>
                    </pic:cNvPicPr>
                  </pic:nvPicPr>
                  <pic:blipFill>
                    <a:blip r:embed="rId9"/>
                    <a:stretch>
                      <a:fillRect/>
                    </a:stretch>
                  </pic:blipFill>
                  <pic:spPr>
                    <a:xfrm>
                      <a:off x="0" y="0"/>
                      <a:ext cx="1007110" cy="440055"/>
                    </a:xfrm>
                    <a:prstGeom prst="rect">
                      <a:avLst/>
                    </a:prstGeom>
                    <a:noFill/>
                    <a:ln>
                      <a:noFill/>
                    </a:ln>
                  </pic:spPr>
                </pic:pic>
              </a:graphicData>
            </a:graphic>
          </wp:anchor>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b/>
          <w:color w:val="000000"/>
          <w:sz w:val="26"/>
          <w:szCs w:val="26"/>
          <w:lang w:val="en-US"/>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2021.1.6</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802"/>
        <w:gridCol w:w="2567"/>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4802"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567"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sz w:val="24"/>
              </w:rPr>
              <w:pict>
                <v:line id="_x0000_s1026" o:spid="_x0000_s1026" o:spt="20" style="position:absolute;left:0pt;flip:y;margin-left:12.1pt;margin-top:16.4pt;height:230pt;width:467.25pt;z-index:251674624;mso-width-relative:page;mso-height-relative:page;" fillcolor="#FFFFFF" filled="t" stroked="t" coordsize="21600,21600">
                  <v:path arrowok="t"/>
                  <v:fill on="t" color2="#FFFFFF" focussize="0,0"/>
                  <v:stroke color="#000000"/>
                  <v:imagedata o:title=""/>
                  <o:lock v:ext="edit" aspectratio="f"/>
                </v:line>
              </w:pict>
            </w:r>
          </w:p>
        </w:tc>
        <w:tc>
          <w:tcPr>
            <w:tcW w:w="4802" w:type="dxa"/>
            <w:vAlign w:val="center"/>
          </w:tcPr>
          <w:p>
            <w:pPr>
              <w:pStyle w:val="4"/>
              <w:pBdr>
                <w:bottom w:val="none" w:color="auto" w:sz="0" w:space="0"/>
              </w:pBdr>
              <w:tabs>
                <w:tab w:val="center" w:pos="5737"/>
                <w:tab w:val="clear" w:pos="4153"/>
              </w:tabs>
              <w:jc w:val="both"/>
              <w:rPr>
                <w:rFonts w:hint="default" w:eastAsia="宋体"/>
                <w:color w:val="000000"/>
                <w:sz w:val="24"/>
                <w:szCs w:val="24"/>
                <w:lang w:val="en-US" w:eastAsia="zh-CN"/>
              </w:rPr>
            </w:pPr>
          </w:p>
        </w:tc>
        <w:tc>
          <w:tcPr>
            <w:tcW w:w="2567" w:type="dxa"/>
            <w:vAlign w:val="center"/>
          </w:tcPr>
          <w:p>
            <w:pPr>
              <w:pStyle w:val="4"/>
              <w:pBdr>
                <w:bottom w:val="none" w:color="auto" w:sz="0" w:space="0"/>
              </w:pBdr>
              <w:ind w:right="600"/>
              <w:jc w:val="both"/>
              <w:rPr>
                <w:rFonts w:hint="default" w:eastAsia="宋体"/>
                <w:color w:val="000000"/>
                <w:sz w:val="32"/>
                <w:szCs w:val="32"/>
                <w:lang w:val="en-US" w:eastAsia="zh-CN"/>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02" w:type="dxa"/>
            <w:vAlign w:val="center"/>
          </w:tcPr>
          <w:p>
            <w:pPr>
              <w:pStyle w:val="4"/>
              <w:pBdr>
                <w:bottom w:val="none" w:color="auto" w:sz="0" w:space="0"/>
              </w:pBdr>
              <w:tabs>
                <w:tab w:val="center" w:pos="5737"/>
                <w:tab w:val="clear" w:pos="4153"/>
              </w:tabs>
              <w:jc w:val="both"/>
              <w:rPr>
                <w:color w:val="000000"/>
                <w:sz w:val="24"/>
                <w:szCs w:val="24"/>
              </w:rPr>
            </w:pPr>
          </w:p>
        </w:tc>
        <w:tc>
          <w:tcPr>
            <w:tcW w:w="2567"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02" w:type="dxa"/>
            <w:vAlign w:val="center"/>
          </w:tcPr>
          <w:p>
            <w:pPr>
              <w:pStyle w:val="4"/>
              <w:pBdr>
                <w:bottom w:val="none" w:color="auto" w:sz="0" w:space="0"/>
              </w:pBdr>
              <w:tabs>
                <w:tab w:val="center" w:pos="5737"/>
                <w:tab w:val="clear" w:pos="4153"/>
              </w:tabs>
              <w:jc w:val="both"/>
              <w:rPr>
                <w:color w:val="000000"/>
                <w:sz w:val="24"/>
                <w:szCs w:val="24"/>
              </w:rPr>
            </w:pPr>
          </w:p>
        </w:tc>
        <w:tc>
          <w:tcPr>
            <w:tcW w:w="2567"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02" w:type="dxa"/>
            <w:vAlign w:val="center"/>
          </w:tcPr>
          <w:p>
            <w:pPr>
              <w:pStyle w:val="4"/>
              <w:pBdr>
                <w:bottom w:val="none" w:color="auto" w:sz="0" w:space="0"/>
              </w:pBdr>
              <w:tabs>
                <w:tab w:val="center" w:pos="5737"/>
                <w:tab w:val="clear" w:pos="4153"/>
              </w:tabs>
              <w:jc w:val="both"/>
              <w:rPr>
                <w:color w:val="000000"/>
                <w:sz w:val="24"/>
                <w:szCs w:val="24"/>
              </w:rPr>
            </w:pPr>
          </w:p>
        </w:tc>
        <w:tc>
          <w:tcPr>
            <w:tcW w:w="2567"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审核</w:t>
            </w:r>
            <w:r>
              <w:rPr>
                <w:rFonts w:hint="eastAsia"/>
                <w:b/>
                <w:color w:val="000000"/>
                <w:sz w:val="22"/>
                <w:szCs w:val="22"/>
                <w:lang w:val="en-US" w:eastAsia="zh-CN"/>
              </w:rPr>
              <w:t>组长</w:t>
            </w:r>
            <w:r>
              <w:rPr>
                <w:rFonts w:hint="eastAsia"/>
                <w:b/>
                <w:color w:val="000000"/>
                <w:sz w:val="22"/>
                <w:szCs w:val="22"/>
              </w:rPr>
              <w:t>：</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277558"/>
    <w:rsid w:val="0D90031B"/>
    <w:rsid w:val="1D0C61DC"/>
    <w:rsid w:val="38744EEA"/>
    <w:rsid w:val="4205474A"/>
    <w:rsid w:val="44FA4D29"/>
    <w:rsid w:val="5245771F"/>
    <w:rsid w:val="5A700975"/>
    <w:rsid w:val="60956B42"/>
    <w:rsid w:val="793356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2021-01-20T07:50:14Z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