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5035550" cy="7124700"/>
            <wp:effectExtent l="0" t="0" r="6350" b="0"/>
            <wp:docPr id="3" name="图片 3" descr="D审核资料(恒拓环境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审核资料(恒拓环境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bookmarkStart w:id="18" w:name="_GoBack"/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河北恒拓通信设备有限公司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2" w:name="联系人"/>
            <w:r>
              <w:rPr>
                <w:b w:val="0"/>
                <w:bCs w:val="0"/>
                <w:sz w:val="20"/>
              </w:rPr>
              <w:t>解晶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3" w:name="联系人电话"/>
            <w:r>
              <w:rPr>
                <w:b w:val="0"/>
                <w:bCs w:val="0"/>
                <w:sz w:val="20"/>
              </w:rPr>
              <w:t>18689004444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5" w:name="管理者代表"/>
            <w:r>
              <w:rPr>
                <w:b w:val="0"/>
                <w:bCs w:val="0"/>
                <w:sz w:val="20"/>
              </w:rPr>
              <w:t>解晶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0008-2020-E-2021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□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</w:rPr>
              <w:t>□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 w:val="0"/>
                <w:bCs w:val="0"/>
                <w:sz w:val="20"/>
              </w:rPr>
              <w:t>监查1</w:t>
            </w:r>
            <w:bookmarkEnd w:id="7"/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 w:val="0"/>
                <w:bCs w:val="0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审核范围"/>
            <w:r>
              <w:rPr>
                <w:b w:val="0"/>
                <w:bCs w:val="0"/>
                <w:sz w:val="20"/>
              </w:rPr>
              <w:t>电力铁附件、电力金具、井圈、井盖、标志牌、塑料管材、钢绞线、线路辅助材料、螺栓、通信抱杆、变压器、绝缘子、钢管、配电箱的销售及其场所所涉及的环境管理活动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0" w:name="专业代码"/>
            <w:r>
              <w:rPr>
                <w:b w:val="0"/>
                <w:bCs w:val="0"/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 w:val="0"/>
                <w:bCs w:val="0"/>
                <w:sz w:val="20"/>
              </w:rPr>
              <w:t>2021年01月11日 下午</w:t>
            </w:r>
            <w:bookmarkEnd w:id="15"/>
            <w:r>
              <w:rPr>
                <w:rFonts w:hint="eastAsia"/>
                <w:b w:val="0"/>
                <w:bCs w:val="0"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 w:val="0"/>
                <w:bCs w:val="0"/>
                <w:sz w:val="20"/>
              </w:rPr>
              <w:t>2021年01月11日 下午</w:t>
            </w:r>
            <w:bookmarkEnd w:id="16"/>
            <w:r>
              <w:rPr>
                <w:rFonts w:hint="eastAsia"/>
                <w:b w:val="0"/>
                <w:bCs w:val="0"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 w:val="0"/>
                <w:bCs w:val="0"/>
                <w:sz w:val="20"/>
              </w:rPr>
              <w:t>0.5</w:t>
            </w:r>
            <w:bookmarkEnd w:id="17"/>
            <w:r>
              <w:rPr>
                <w:rFonts w:hint="eastAsia"/>
                <w:b w:val="0"/>
                <w:bCs w:val="0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2020-N1EMS-3022240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45720</wp:posOffset>
                  </wp:positionV>
                  <wp:extent cx="983615" cy="47371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2021.1.10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2021.1.10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25"/>
        <w:gridCol w:w="6454"/>
        <w:gridCol w:w="1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2021.1.11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13：00-13：30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13：30-14：30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及其实现的策划；</w:t>
            </w:r>
            <w:r>
              <w:rPr>
                <w:rFonts w:hint="eastAsia"/>
                <w:sz w:val="21"/>
                <w:szCs w:val="21"/>
              </w:rPr>
              <w:t>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、分析和评价总则；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持续改进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14：30-15：30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eastAsia="zh-CN"/>
              </w:rPr>
              <w:t>目标；环境因素；合规义务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人员、组织知识；能力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；沟通；信息交流；</w:t>
            </w:r>
            <w:r>
              <w:rPr>
                <w:rFonts w:hint="eastAsia"/>
                <w:sz w:val="21"/>
                <w:szCs w:val="21"/>
              </w:rPr>
              <w:t>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；合规性评价；不符合和纠正措施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涉及条款：5.3/6.1.2/6.1.3/6.2/8.1/8.2/9.1.2/9.2/10.2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15：30-16：30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  <w:lang w:eastAsia="zh-CN"/>
              </w:rPr>
              <w:t>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5.3/6.1.2/6.2/8.1/8.2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C27B2"/>
    <w:rsid w:val="1DBC3911"/>
    <w:rsid w:val="5E6867DF"/>
    <w:rsid w:val="7F3D1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2021-01-16T08:54:58Z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