
<file path=[Content_Types].xml><?xml version="1.0" encoding="utf-8"?>
<Types xmlns="http://schemas.openxmlformats.org/package/2006/content-types">
  <Default Extension="xml" ContentType="application/xml"/>
  <Default Extension="png" ContentType="image/png"/>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石家庄弘益节能环保技术有限公司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sz w:val="20"/>
                <w:szCs w:val="20"/>
              </w:rPr>
            </w:pPr>
            <w:r>
              <w:rPr>
                <w:rFonts w:hint="eastAsia"/>
                <w:b/>
                <w:color w:val="000000"/>
                <w:sz w:val="20"/>
                <w:szCs w:val="20"/>
              </w:rPr>
              <w:t>温耀华</w:t>
            </w:r>
          </w:p>
        </w:tc>
        <w:tc>
          <w:tcPr>
            <w:tcW w:w="992" w:type="dxa"/>
            <w:vAlign w:val="center"/>
          </w:tcPr>
          <w:p>
            <w:pPr>
              <w:rPr>
                <w:b/>
                <w:color w:val="000000"/>
                <w:sz w:val="20"/>
                <w:szCs w:val="20"/>
              </w:rPr>
            </w:pPr>
            <w:r>
              <w:rPr>
                <w:rFonts w:hint="eastAsia"/>
                <w:b/>
                <w:color w:val="000000"/>
                <w:sz w:val="20"/>
                <w:szCs w:val="20"/>
              </w:rPr>
              <w:t>男</w:t>
            </w:r>
          </w:p>
        </w:tc>
        <w:tc>
          <w:tcPr>
            <w:tcW w:w="1216" w:type="dxa"/>
            <w:vAlign w:val="center"/>
          </w:tcPr>
          <w:p>
            <w:pPr>
              <w:rPr>
                <w:b/>
                <w:color w:val="000000"/>
                <w:sz w:val="20"/>
                <w:szCs w:val="20"/>
              </w:rPr>
            </w:pPr>
            <w:r>
              <w:rPr>
                <w:rFonts w:hint="eastAsia"/>
                <w:b/>
                <w:color w:val="000000"/>
                <w:sz w:val="20"/>
                <w:szCs w:val="20"/>
              </w:rPr>
              <w:t>向导</w:t>
            </w:r>
          </w:p>
        </w:tc>
        <w:tc>
          <w:tcPr>
            <w:tcW w:w="3478" w:type="dxa"/>
            <w:gridSpan w:val="3"/>
            <w:vAlign w:val="center"/>
          </w:tcPr>
          <w:p>
            <w:pPr>
              <w:rPr>
                <w:b/>
                <w:color w:val="000000"/>
                <w:sz w:val="20"/>
                <w:szCs w:val="20"/>
              </w:rPr>
            </w:pPr>
            <w:r>
              <w:rPr>
                <w:rFonts w:hint="eastAsia"/>
                <w:b/>
                <w:color w:val="000000"/>
                <w:sz w:val="20"/>
                <w:szCs w:val="20"/>
              </w:rPr>
              <w:t>石家庄弘益节能环保技术有限公司</w:t>
            </w: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ind w:firstLine="2610" w:firstLineChars="1000"/>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石家庄弘益节能环保技术有限公司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石家庄市桥西区槐安西路100号紫金大厦2112室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石家庄市桥西区槐安西路100号紫金大厦2112室</w:t>
            </w:r>
            <w:bookmarkEnd w:id="9"/>
            <w:r>
              <w:rPr>
                <w:rFonts w:hint="eastAsia" w:ascii="宋体" w:hAnsi="宋体"/>
                <w:b/>
                <w:color w:val="000000" w:themeColor="text1"/>
                <w:sz w:val="20"/>
                <w:szCs w:val="20"/>
              </w:rPr>
              <w:t>，石家庄市桥西区华星路8号热电一厂小区底商</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温耀华</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13292899621</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赵海燕</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温耀华</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节能环保技术服务</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34.06.00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r>
              <w:rPr>
                <w:rFonts w:hint="eastAsia" w:ascii="宋体" w:hAnsi="宋体"/>
                <w:b/>
                <w:color w:val="000000" w:themeColor="text1"/>
                <w:spacing w:val="-20"/>
                <w:sz w:val="20"/>
                <w:szCs w:val="20"/>
              </w:rPr>
              <w:t>无</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r>
              <w:rPr>
                <w:rFonts w:hint="eastAsia" w:ascii="宋体" w:hAnsi="宋体"/>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65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7654" w:type="dxa"/>
          </w:tcPr>
          <w:p>
            <w:pPr>
              <w:jc w:val="center"/>
              <w:rPr>
                <w:rFonts w:ascii="宋体" w:hAnsi="宋体"/>
                <w:b/>
                <w:color w:val="auto"/>
                <w:spacing w:val="-20"/>
                <w:sz w:val="20"/>
                <w:szCs w:val="20"/>
                <w:u w:val="single"/>
              </w:rPr>
            </w:pPr>
            <w:r>
              <w:rPr>
                <w:rFonts w:ascii="宋体" w:hAnsi="宋体"/>
                <w:b/>
                <w:bCs/>
                <w:color w:val="auto"/>
                <w:sz w:val="20"/>
              </w:rPr>
              <w:t>4.1/4.2/4.3/4.4/5.1/5.2/5.3/6.1/6.2/6.3/7.1.1/9. 1.1/9.2/9.3/10.1 /10.3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7654" w:type="dxa"/>
          </w:tcPr>
          <w:p>
            <w:pPr>
              <w:jc w:val="center"/>
              <w:rPr>
                <w:rFonts w:ascii="宋体" w:hAnsi="宋体"/>
                <w:b/>
                <w:color w:val="auto"/>
                <w:spacing w:val="-20"/>
                <w:sz w:val="20"/>
                <w:szCs w:val="20"/>
                <w:u w:val="single"/>
              </w:rPr>
            </w:pPr>
            <w:r>
              <w:rPr>
                <w:rFonts w:ascii="宋体" w:hAnsi="宋体"/>
                <w:b/>
                <w:bCs/>
                <w:color w:val="auto"/>
                <w:sz w:val="20"/>
              </w:rPr>
              <w:t>5.3/6.2/7.1.2/7. 1.6/7.2/7.3/7.4/ 7.5/9.1.3/9.2/10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jc w:val="center"/>
              <w:rPr>
                <w:rFonts w:ascii="宋体" w:hAnsi="宋体"/>
                <w:b/>
                <w:color w:val="000000" w:themeColor="text1"/>
                <w:sz w:val="20"/>
                <w:szCs w:val="20"/>
              </w:rPr>
            </w:pPr>
            <w:r>
              <w:rPr>
                <w:rFonts w:hint="eastAsia" w:ascii="宋体" w:hAnsi="宋体"/>
                <w:b/>
                <w:color w:val="000000" w:themeColor="text1"/>
                <w:sz w:val="20"/>
                <w:szCs w:val="20"/>
              </w:rPr>
              <w:t>技术</w:t>
            </w:r>
            <w:r>
              <w:rPr>
                <w:rFonts w:ascii="宋体" w:hAnsi="宋体"/>
                <w:b/>
                <w:color w:val="000000" w:themeColor="text1"/>
                <w:sz w:val="20"/>
                <w:szCs w:val="20"/>
              </w:rPr>
              <w:t>部</w:t>
            </w:r>
          </w:p>
        </w:tc>
        <w:tc>
          <w:tcPr>
            <w:tcW w:w="7654" w:type="dxa"/>
          </w:tcPr>
          <w:p>
            <w:pPr>
              <w:ind w:firstLine="402" w:firstLineChars="200"/>
              <w:jc w:val="center"/>
              <w:rPr>
                <w:rFonts w:ascii="宋体" w:hAnsi="宋体"/>
                <w:b/>
                <w:color w:val="auto"/>
                <w:spacing w:val="-20"/>
                <w:sz w:val="20"/>
                <w:szCs w:val="20"/>
                <w:u w:val="single"/>
              </w:rPr>
            </w:pPr>
            <w:r>
              <w:rPr>
                <w:rFonts w:hint="eastAsia" w:ascii="宋体" w:hAnsi="宋体"/>
                <w:b/>
                <w:bCs/>
                <w:color w:val="auto"/>
                <w:sz w:val="20"/>
              </w:rPr>
              <w:t>5.3/6.2/</w:t>
            </w:r>
            <w:r>
              <w:rPr>
                <w:rFonts w:ascii="宋体" w:hAnsi="宋体"/>
                <w:b/>
                <w:bCs/>
                <w:color w:val="auto"/>
                <w:sz w:val="20"/>
              </w:rPr>
              <w:t>7.1.3/7.1.4/7.1.5/8.1/8.3/8.4/8.5.1/8.5.2/8.5.4/8.5.6</w:t>
            </w:r>
            <w:r>
              <w:rPr>
                <w:rFonts w:hint="eastAsia" w:ascii="宋体" w:hAnsi="宋体"/>
                <w:b/>
                <w:bCs/>
                <w:color w:val="auto"/>
                <w:sz w:val="20"/>
              </w:rPr>
              <w:t>/8.6/ 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jc w:val="center"/>
              <w:rPr>
                <w:rFonts w:ascii="宋体" w:hAnsi="宋体"/>
                <w:b/>
                <w:color w:val="000000" w:themeColor="text1"/>
                <w:sz w:val="20"/>
                <w:szCs w:val="20"/>
              </w:rPr>
            </w:pPr>
            <w:r>
              <w:rPr>
                <w:rFonts w:hint="eastAsia" w:ascii="宋体" w:hAnsi="宋体"/>
                <w:b/>
                <w:color w:val="000000" w:themeColor="text1"/>
                <w:sz w:val="20"/>
                <w:szCs w:val="20"/>
              </w:rPr>
              <w:t>市场</w:t>
            </w:r>
            <w:r>
              <w:rPr>
                <w:rFonts w:ascii="宋体" w:hAnsi="宋体"/>
                <w:b/>
                <w:color w:val="000000" w:themeColor="text1"/>
                <w:sz w:val="20"/>
                <w:szCs w:val="20"/>
              </w:rPr>
              <w:t>部</w:t>
            </w:r>
          </w:p>
        </w:tc>
        <w:tc>
          <w:tcPr>
            <w:tcW w:w="7654" w:type="dxa"/>
          </w:tcPr>
          <w:p>
            <w:pPr>
              <w:ind w:firstLine="201" w:firstLineChars="100"/>
              <w:jc w:val="center"/>
              <w:rPr>
                <w:rFonts w:ascii="宋体" w:hAnsi="宋体"/>
                <w:b/>
                <w:color w:val="auto"/>
                <w:spacing w:val="-20"/>
                <w:sz w:val="20"/>
                <w:szCs w:val="20"/>
                <w:u w:val="single"/>
              </w:rPr>
            </w:pPr>
            <w:r>
              <w:rPr>
                <w:rFonts w:hint="eastAsia" w:ascii="宋体" w:hAnsi="宋体"/>
                <w:b/>
                <w:bCs/>
                <w:color w:val="auto"/>
                <w:sz w:val="20"/>
              </w:rPr>
              <w:t>5.3/6.2/</w:t>
            </w:r>
            <w:r>
              <w:rPr>
                <w:rFonts w:ascii="宋体" w:hAnsi="宋体"/>
                <w:b/>
                <w:bCs/>
                <w:color w:val="auto"/>
                <w:sz w:val="20"/>
              </w:rPr>
              <w:t>8.2/</w:t>
            </w:r>
            <w:r>
              <w:rPr>
                <w:rFonts w:hint="eastAsia" w:ascii="宋体" w:hAnsi="宋体"/>
                <w:b/>
                <w:bCs/>
                <w:color w:val="auto"/>
                <w:sz w:val="20"/>
              </w:rPr>
              <w:t>8.5.3/8. 5.5/9.1.</w:t>
            </w:r>
            <w:r>
              <w:rPr>
                <w:rFonts w:ascii="宋体" w:hAnsi="宋体"/>
                <w:b/>
                <w:bCs/>
                <w:color w:val="auto"/>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rPr>
                <w:rFonts w:ascii="宋体" w:hAnsi="宋体"/>
                <w:b/>
                <w:color w:val="000000" w:themeColor="text1"/>
                <w:szCs w:val="21"/>
              </w:rPr>
            </w:pPr>
          </w:p>
        </w:tc>
        <w:tc>
          <w:tcPr>
            <w:tcW w:w="765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auto"/>
                <w:sz w:val="20"/>
                <w:szCs w:val="20"/>
              </w:rPr>
            </w:pPr>
            <w:r>
              <w:rPr>
                <w:color w:val="auto"/>
                <w:sz w:val="20"/>
              </w:rPr>
              <w:t>节能环保技术服务</w:t>
            </w:r>
          </w:p>
        </w:tc>
        <w:tc>
          <w:tcPr>
            <w:tcW w:w="2519" w:type="dxa"/>
          </w:tcPr>
          <w:p>
            <w:pPr>
              <w:rPr>
                <w:b/>
                <w:color w:val="auto"/>
                <w:sz w:val="20"/>
                <w:szCs w:val="20"/>
              </w:rPr>
            </w:pPr>
            <w:r>
              <w:rPr>
                <w:rFonts w:hint="eastAsia"/>
                <w:b/>
                <w:color w:val="auto"/>
                <w:sz w:val="20"/>
                <w:szCs w:val="20"/>
              </w:rPr>
              <w:t>咨询技术服务</w:t>
            </w:r>
          </w:p>
        </w:tc>
        <w:tc>
          <w:tcPr>
            <w:tcW w:w="1843" w:type="dxa"/>
          </w:tcPr>
          <w:p>
            <w:pPr>
              <w:rPr>
                <w:b/>
                <w:color w:val="auto"/>
                <w:sz w:val="20"/>
                <w:szCs w:val="20"/>
              </w:rPr>
            </w:pPr>
          </w:p>
        </w:tc>
        <w:tc>
          <w:tcPr>
            <w:tcW w:w="3543" w:type="dxa"/>
          </w:tcPr>
          <w:p>
            <w:pPr>
              <w:rPr>
                <w:rFonts w:hint="eastAsia"/>
                <w:b/>
                <w:color w:val="auto"/>
                <w:sz w:val="20"/>
                <w:szCs w:val="20"/>
              </w:rPr>
            </w:pPr>
            <w:r>
              <w:rPr>
                <w:rFonts w:hint="eastAsia"/>
                <w:b/>
                <w:color w:val="auto"/>
                <w:sz w:val="20"/>
                <w:szCs w:val="20"/>
              </w:rPr>
              <w:t>客户技术要求及所服务行业的执行标准和规范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 2020年12月</w:t>
      </w:r>
      <w:bookmarkStart w:id="20" w:name="OLE_LINK1"/>
      <w:r>
        <w:rPr>
          <w:rFonts w:hint="eastAsia"/>
          <w:b/>
          <w:color w:val="000000" w:themeColor="text1"/>
          <w:spacing w:val="-10"/>
          <w:szCs w:val="21"/>
        </w:rPr>
        <w:t>27日</w:t>
      </w:r>
      <w:bookmarkEnd w:id="20"/>
      <w:r>
        <w:rPr>
          <w:rFonts w:hint="eastAsia"/>
          <w:b/>
          <w:color w:val="000000" w:themeColor="text1"/>
          <w:spacing w:val="-10"/>
          <w:szCs w:val="21"/>
        </w:rPr>
        <w:t>至2020年12月27日。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sz w:val="20"/>
                <w:szCs w:val="20"/>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b/>
                <w:color w:val="000000" w:themeColor="text1"/>
                <w:sz w:val="20"/>
                <w:szCs w:val="20"/>
              </w:rPr>
            </w:pPr>
            <w:r>
              <w:rPr>
                <w:rFonts w:hint="eastAsia"/>
                <w:b/>
                <w:color w:val="000000" w:themeColor="text1"/>
                <w:sz w:val="20"/>
                <w:szCs w:val="20"/>
              </w:rPr>
              <w:t>相关方需求和期望识别情况</w:t>
            </w:r>
          </w:p>
          <w:p>
            <w:pPr>
              <w:rPr>
                <w:sz w:val="20"/>
                <w:szCs w:val="20"/>
              </w:rPr>
            </w:pPr>
            <w:r>
              <w:rPr>
                <w:rFonts w:hint="eastAsia"/>
                <w:sz w:val="20"/>
                <w:szCs w:val="20"/>
              </w:rPr>
              <w:t>公司确定了与质量管理体系有关的相关方包括顾客、政府机构、社区、供应商、内部员工等。</w:t>
            </w:r>
          </w:p>
          <w:p>
            <w:pPr>
              <w:rPr>
                <w:sz w:val="20"/>
                <w:szCs w:val="20"/>
              </w:rPr>
            </w:pPr>
            <w:r>
              <w:rPr>
                <w:rFonts w:hint="eastAsia"/>
                <w:sz w:val="20"/>
                <w:szCs w:val="20"/>
              </w:rPr>
              <w:t>相关方对企业的要求有：遵守国家的现行法律法规、保持有效的资质、量具定期检定、不断提高技术水平以及不断提高客户满意度等。</w:t>
            </w:r>
          </w:p>
          <w:p>
            <w:pPr>
              <w:rPr>
                <w:sz w:val="20"/>
                <w:szCs w:val="20"/>
              </w:rPr>
            </w:pPr>
            <w:r>
              <w:rPr>
                <w:rFonts w:hint="eastAsia"/>
                <w:sz w:val="20"/>
                <w:szCs w:val="20"/>
              </w:rPr>
              <w:t>公司管理层及相关部门将持续关注相关方需求的变化，必要时通过评估风险和机遇，调整管理目标或变更管理过程以适应这些变化或实现改进。</w:t>
            </w:r>
          </w:p>
          <w:p>
            <w:pPr>
              <w:spacing w:line="240" w:lineRule="exact"/>
              <w:rPr>
                <w:b/>
                <w:color w:val="000000" w:themeColor="text1"/>
                <w:sz w:val="20"/>
                <w:szCs w:val="20"/>
              </w:rPr>
            </w:pPr>
            <w:r>
              <w:rPr>
                <w:sz w:val="20"/>
                <w:szCs w:val="20"/>
              </w:rPr>
              <w:t>对这些相关方监视和评审的方法有：上级文件、标准和规范的获取、客户走访调查、沟通等。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autoSpaceDE w:val="0"/>
              <w:autoSpaceDN w:val="0"/>
              <w:spacing w:line="440" w:lineRule="exact"/>
              <w:rPr>
                <w:rFonts w:ascii="宋体" w:hAnsi="宋体"/>
                <w:bCs/>
                <w:sz w:val="20"/>
                <w:szCs w:val="20"/>
              </w:rPr>
            </w:pPr>
            <w:r>
              <w:rPr>
                <w:rFonts w:hint="eastAsia"/>
                <w:sz w:val="20"/>
                <w:szCs w:val="20"/>
              </w:rPr>
              <w:sym w:font="Wingdings 2" w:char="F098"/>
            </w:r>
            <w:r>
              <w:rPr>
                <w:rFonts w:hint="eastAsia"/>
                <w:sz w:val="20"/>
                <w:szCs w:val="20"/>
              </w:rPr>
              <w:t>质量方针：</w:t>
            </w:r>
            <w:r>
              <w:rPr>
                <w:rFonts w:hint="eastAsia" w:ascii="宋体" w:hAnsi="宋体"/>
                <w:bCs/>
                <w:sz w:val="20"/>
                <w:szCs w:val="20"/>
              </w:rPr>
              <w:t>“科技领先，质量第一，顾客至上，诚实守信”</w:t>
            </w:r>
          </w:p>
          <w:p>
            <w:pPr>
              <w:spacing w:line="240" w:lineRule="exact"/>
              <w:ind w:left="199" w:leftChars="95"/>
              <w:rPr>
                <w:b/>
                <w:color w:val="000000" w:themeColor="text1"/>
              </w:rPr>
            </w:pPr>
            <w:r>
              <w:rPr>
                <w:rFonts w:hint="eastAsia"/>
                <w:sz w:val="20"/>
                <w:szCs w:val="20"/>
              </w:rPr>
              <w:t>方针与企业的经营宗旨相适应，协调一致；通过会议传达，沟通，让全体员工理解执行。并定期进行评审（一般一年一次）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b/>
                <w:color w:val="000000" w:themeColor="text1"/>
              </w:rPr>
            </w:pPr>
            <w:r>
              <w:rPr>
                <w:rFonts w:hint="eastAsia"/>
                <w:b/>
                <w:color w:val="000000" w:themeColor="text1"/>
              </w:rPr>
              <w:t>风险识别与控制策划（QMS）</w:t>
            </w:r>
          </w:p>
          <w:p>
            <w:pPr>
              <w:rPr>
                <w:sz w:val="20"/>
                <w:szCs w:val="20"/>
              </w:rPr>
            </w:pPr>
            <w:r>
              <w:rPr>
                <w:rFonts w:hint="eastAsia"/>
                <w:b/>
                <w:color w:val="000000" w:themeColor="text1"/>
              </w:rPr>
              <w:t xml:space="preserve">  </w:t>
            </w:r>
            <w:r>
              <w:rPr>
                <w:rFonts w:hint="eastAsia"/>
                <w:sz w:val="20"/>
                <w:szCs w:val="20"/>
              </w:rPr>
              <w:t>编制了《风险和机遇控制程序》。查见《风险和机遇评估分析表》，确定了组织需应对的风险和机遇。1、合同评审不全面风险</w:t>
            </w:r>
            <w:r>
              <w:rPr>
                <w:rFonts w:hint="eastAsia"/>
                <w:sz w:val="20"/>
                <w:szCs w:val="20"/>
              </w:rPr>
              <w:tab/>
            </w:r>
            <w:r>
              <w:rPr>
                <w:rFonts w:hint="eastAsia"/>
                <w:sz w:val="20"/>
                <w:szCs w:val="20"/>
              </w:rPr>
              <w:t>明确顾客合同要求；</w:t>
            </w:r>
          </w:p>
          <w:p>
            <w:pPr>
              <w:rPr>
                <w:sz w:val="20"/>
                <w:szCs w:val="20"/>
              </w:rPr>
            </w:pPr>
            <w:r>
              <w:rPr>
                <w:rFonts w:hint="eastAsia"/>
                <w:sz w:val="20"/>
                <w:szCs w:val="20"/>
              </w:rPr>
              <w:t>2、合同变更风险</w:t>
            </w:r>
            <w:r>
              <w:rPr>
                <w:rFonts w:hint="eastAsia"/>
                <w:sz w:val="20"/>
                <w:szCs w:val="20"/>
              </w:rPr>
              <w:tab/>
            </w:r>
            <w:r>
              <w:rPr>
                <w:rFonts w:hint="eastAsia"/>
                <w:sz w:val="20"/>
                <w:szCs w:val="20"/>
              </w:rPr>
              <w:t>及时明确评审并传达到响应部门；</w:t>
            </w:r>
          </w:p>
          <w:p>
            <w:pPr>
              <w:rPr>
                <w:sz w:val="20"/>
                <w:szCs w:val="20"/>
              </w:rPr>
            </w:pPr>
            <w:r>
              <w:rPr>
                <w:rFonts w:hint="eastAsia"/>
                <w:sz w:val="20"/>
                <w:szCs w:val="20"/>
              </w:rPr>
              <w:t>3、数据分析不准确，导致分析结论不合理</w:t>
            </w:r>
            <w:r>
              <w:rPr>
                <w:rFonts w:hint="eastAsia"/>
                <w:sz w:val="20"/>
                <w:szCs w:val="20"/>
              </w:rPr>
              <w:tab/>
            </w:r>
            <w:r>
              <w:rPr>
                <w:rFonts w:hint="eastAsia"/>
                <w:sz w:val="20"/>
                <w:szCs w:val="20"/>
              </w:rPr>
              <w:t>数据分析必须准确，对数据的真实性进行监督</w:t>
            </w:r>
          </w:p>
          <w:p>
            <w:pPr>
              <w:rPr>
                <w:sz w:val="20"/>
                <w:szCs w:val="20"/>
              </w:rPr>
            </w:pPr>
            <w:r>
              <w:rPr>
                <w:rFonts w:hint="eastAsia"/>
                <w:sz w:val="20"/>
                <w:szCs w:val="20"/>
              </w:rPr>
              <w:t>4、市场及同行竞争风险</w:t>
            </w:r>
            <w:r>
              <w:rPr>
                <w:rFonts w:hint="eastAsia"/>
                <w:sz w:val="20"/>
                <w:szCs w:val="20"/>
              </w:rPr>
              <w:tab/>
            </w:r>
            <w:r>
              <w:rPr>
                <w:rFonts w:hint="eastAsia"/>
                <w:sz w:val="20"/>
                <w:szCs w:val="20"/>
              </w:rPr>
              <w:t>加强企业文化建设、提升竞争力</w:t>
            </w:r>
          </w:p>
          <w:p>
            <w:pPr>
              <w:rPr>
                <w:sz w:val="20"/>
                <w:szCs w:val="20"/>
              </w:rPr>
            </w:pPr>
            <w:r>
              <w:rPr>
                <w:rFonts w:hint="eastAsia"/>
                <w:sz w:val="20"/>
                <w:szCs w:val="20"/>
              </w:rPr>
              <w:sym w:font="Wingdings 2" w:char="F098"/>
            </w:r>
            <w:r>
              <w:rPr>
                <w:rFonts w:hint="eastAsia"/>
                <w:sz w:val="20"/>
                <w:szCs w:val="20"/>
              </w:rPr>
              <w:t>评审情况均为符合发展要求，评审人：王晓江，评审时间：2020.7.10</w:t>
            </w:r>
          </w:p>
          <w:p>
            <w:pPr>
              <w:rPr>
                <w:b/>
                <w:color w:val="000000" w:themeColor="text1"/>
              </w:rPr>
            </w:pPr>
            <w:r>
              <w:rPr>
                <w:rFonts w:hint="eastAsia"/>
                <w:sz w:val="20"/>
                <w:szCs w:val="20"/>
              </w:rPr>
              <w:t>措施正在实施中。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质量管理体系过程有：合同洽谈过程、 合同评审功能需求分析过程、 收集项目资料过程、编制项目咨询报告过程、验收过程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合同洽谈、功能需求分析、编制项目咨询报告、提交咨询成果</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  ：</w:t>
            </w:r>
            <w:r>
              <w:rPr>
                <w:rFonts w:hint="eastAsia" w:ascii="宋体" w:hAnsi="宋体"/>
                <w:b/>
                <w:color w:val="000000" w:themeColor="text1"/>
                <w:sz w:val="20"/>
                <w:szCs w:val="20"/>
                <w:u w:val="single"/>
              </w:rPr>
              <w:t>咨询服务</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8" o:spid="_x0000_s1028"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，不适用理由：根据公司实际和产品或服务的特点，本企业产品和服</w:t>
            </w:r>
            <w:r>
              <w:rPr>
                <w:rFonts w:hint="eastAsia" w:ascii="宋体" w:hAnsi="宋体"/>
                <w:b/>
                <w:color w:val="000000" w:themeColor="text1"/>
                <w:sz w:val="20"/>
                <w:szCs w:val="20"/>
                <w:u w:val="single"/>
              </w:rPr>
              <w:t xml:space="preserve">务均需依据国家标准和行业标准进行技术服务工作，无设计开发要求，故不适用8.3条款不影响组织确保其产品和服务合格的能力或责任，对增强顾客满意也不会产生影响，理由充分。 </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产品/服务□环境因素□危险源，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szCs w:val="21"/>
              </w:rPr>
            </w:pPr>
            <w:r>
              <w:rPr>
                <w:rFonts w:hint="eastAsia"/>
                <w:szCs w:val="21"/>
              </w:rPr>
              <w:sym w:font="Wingdings 2" w:char="F098"/>
            </w:r>
            <w:r>
              <w:rPr>
                <w:rFonts w:hint="eastAsia"/>
                <w:szCs w:val="21"/>
              </w:rPr>
              <w:t>企业质量目标：</w:t>
            </w:r>
          </w:p>
          <w:p>
            <w:pPr>
              <w:rPr>
                <w:szCs w:val="21"/>
              </w:rPr>
            </w:pPr>
            <w:r>
              <w:rPr>
                <w:rFonts w:hint="eastAsia"/>
                <w:szCs w:val="21"/>
              </w:rPr>
              <w:t>1）项目一次验收合格率≥90%；</w:t>
            </w:r>
          </w:p>
          <w:p>
            <w:pPr>
              <w:rPr>
                <w:szCs w:val="21"/>
              </w:rPr>
            </w:pPr>
            <w:r>
              <w:rPr>
                <w:rFonts w:hint="eastAsia"/>
                <w:szCs w:val="21"/>
              </w:rPr>
              <w:t>2）顾客满意度≥95%</w:t>
            </w:r>
          </w:p>
          <w:p>
            <w:pPr>
              <w:rPr>
                <w:szCs w:val="21"/>
              </w:rPr>
            </w:pPr>
            <w:r>
              <w:rPr>
                <w:rFonts w:hint="eastAsia"/>
                <w:szCs w:val="21"/>
              </w:rPr>
              <w:sym w:font="Wingdings 2" w:char="F098"/>
            </w:r>
            <w:r>
              <w:rPr>
                <w:rFonts w:hint="eastAsia"/>
                <w:szCs w:val="21"/>
              </w:rPr>
              <w:t>质量目标满足服务要求（行业规范及客户要求）；</w:t>
            </w:r>
          </w:p>
          <w:p>
            <w:pPr>
              <w:rPr>
                <w:szCs w:val="21"/>
              </w:rPr>
            </w:pPr>
            <w:r>
              <w:rPr>
                <w:rFonts w:hint="eastAsia"/>
                <w:szCs w:val="21"/>
              </w:rPr>
              <w:sym w:font="Wingdings 2" w:char="F098"/>
            </w:r>
            <w:r>
              <w:rPr>
                <w:rFonts w:hint="eastAsia"/>
                <w:szCs w:val="21"/>
              </w:rPr>
              <w:t>质量目标进行层层分解，落实到责任部门。</w:t>
            </w:r>
          </w:p>
          <w:p>
            <w:pPr>
              <w:spacing w:line="240" w:lineRule="exact"/>
              <w:rPr>
                <w:rFonts w:ascii="宋体" w:hAnsi="宋体"/>
                <w:b/>
                <w:color w:val="000000" w:themeColor="text1"/>
              </w:rPr>
            </w:pPr>
            <w:r>
              <w:rPr>
                <w:rFonts w:hint="eastAsia"/>
                <w:szCs w:val="21"/>
              </w:rPr>
              <w:t>（见各部门考核结果）。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olor w:val="000000" w:themeColor="text1"/>
                <w:sz w:val="20"/>
                <w:szCs w:val="20"/>
              </w:rPr>
              <w:t>管理体系文件由办公室组织编写，总经理批准发布实施，办公室打印传阅，公司文件柜存放，电子版本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办公室根据管理体系要求设计了空白表格，按照需求发放，由使用人员填写记录并保存，办公室不定期 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szCs w:val="21"/>
              </w:rPr>
              <w:t>人力资源：企业目前在职员工20人，教育水平符合公司要求，专业知识丰富、沟通能力强，实践经验丰富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szCs w:val="21"/>
              </w:rPr>
              <w:t>电脑、电话、一体机、轿车</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rPr>
                <w:szCs w:val="21"/>
              </w:rPr>
            </w:pPr>
            <w:r>
              <w:rPr>
                <w:rFonts w:hint="eastAsia"/>
                <w:szCs w:val="21"/>
              </w:rPr>
              <w:sym w:font="Wingdings 2" w:char="F098"/>
            </w:r>
            <w:r>
              <w:rPr>
                <w:rFonts w:hint="eastAsia"/>
                <w:szCs w:val="21"/>
              </w:rPr>
              <w:t>查设备台帐，主要是办公设备及运输设备，包括：电脑、电话、一体机、轿车，满足技术服务需求。</w:t>
            </w:r>
          </w:p>
          <w:p>
            <w:pPr>
              <w:rPr>
                <w:szCs w:val="21"/>
              </w:rPr>
            </w:pPr>
            <w:r>
              <w:rPr>
                <w:rFonts w:hint="eastAsia"/>
                <w:szCs w:val="21"/>
              </w:rPr>
              <w:sym w:font="Wingdings 2" w:char="F098"/>
            </w:r>
            <w:r>
              <w:rPr>
                <w:rFonts w:hint="eastAsia"/>
                <w:szCs w:val="21"/>
              </w:rPr>
              <w:t>基础设施有：办公室、会议室、轿车等，目前企业采用无仓储经营。</w:t>
            </w:r>
          </w:p>
          <w:p>
            <w:pPr>
              <w:rPr>
                <w:szCs w:val="21"/>
              </w:rPr>
            </w:pPr>
            <w:r>
              <w:rPr>
                <w:rFonts w:hint="eastAsia"/>
                <w:szCs w:val="21"/>
              </w:rPr>
              <w:sym w:font="Wingdings 2" w:char="F098"/>
            </w:r>
            <w:r>
              <w:rPr>
                <w:rFonts w:hint="eastAsia"/>
                <w:szCs w:val="21"/>
              </w:rPr>
              <w:t>日常维护保养包括对电脑的定期杀毒，车的定期保养、大中小修、定期年检。全部完好。</w:t>
            </w:r>
          </w:p>
          <w:p>
            <w:pPr>
              <w:spacing w:line="240" w:lineRule="exact"/>
              <w:rPr>
                <w:rFonts w:ascii="宋体" w:hAnsi="宋体"/>
                <w:b/>
                <w:color w:val="000000" w:themeColor="text1"/>
                <w:sz w:val="20"/>
                <w:szCs w:val="20"/>
              </w:rPr>
            </w:pPr>
            <w:r>
              <w:rPr>
                <w:rFonts w:hint="eastAsia"/>
                <w:szCs w:val="21"/>
              </w:rPr>
              <w:sym w:font="Wingdings 2" w:char="F098"/>
            </w:r>
            <w:r>
              <w:rPr>
                <w:rFonts w:hint="eastAsia"/>
                <w:szCs w:val="21"/>
              </w:rPr>
              <w:t>不涉及特种设备。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szCs w:val="21"/>
              </w:rPr>
              <w:t>对咨询服务质量进行检查、技术咨询报告进行检验，对顾客满意度进行调查，制定了对应表格。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rPr>
                <w:sz w:val="20"/>
                <w:szCs w:val="20"/>
              </w:rPr>
            </w:pPr>
            <w:r>
              <w:rPr>
                <w:rFonts w:hint="eastAsia"/>
                <w:sz w:val="20"/>
                <w:szCs w:val="20"/>
              </w:rPr>
              <w:sym w:font="Wingdings 2" w:char="F098"/>
            </w:r>
            <w:r>
              <w:rPr>
                <w:rFonts w:hint="eastAsia"/>
                <w:sz w:val="20"/>
                <w:szCs w:val="20"/>
              </w:rPr>
              <w:t>组织运行所需的知识从内、外部来源获取的有：</w:t>
            </w:r>
          </w:p>
          <w:p>
            <w:pPr>
              <w:pStyle w:val="10"/>
              <w:numPr>
                <w:ilvl w:val="0"/>
                <w:numId w:val="4"/>
              </w:numPr>
              <w:ind w:firstLineChars="0"/>
              <w:rPr>
                <w:sz w:val="20"/>
                <w:szCs w:val="20"/>
              </w:rPr>
            </w:pPr>
            <w:r>
              <w:rPr>
                <w:rFonts w:hint="eastAsia"/>
                <w:sz w:val="20"/>
                <w:szCs w:val="20"/>
              </w:rPr>
              <w:t>销售人员以往多年的工作经验（员工过去所有的）根据顾客要求提供满足顾客需求的服务信息等；</w:t>
            </w:r>
          </w:p>
          <w:p>
            <w:pPr>
              <w:pStyle w:val="10"/>
              <w:numPr>
                <w:ilvl w:val="0"/>
                <w:numId w:val="4"/>
              </w:numPr>
              <w:ind w:firstLineChars="0"/>
              <w:rPr>
                <w:sz w:val="20"/>
                <w:szCs w:val="20"/>
              </w:rPr>
            </w:pPr>
            <w:r>
              <w:rPr>
                <w:rFonts w:hint="eastAsia"/>
                <w:sz w:val="20"/>
                <w:szCs w:val="20"/>
              </w:rPr>
              <w:t>外部来源获取有：体系咨询老师传授的体系知识及所实施的内审员的培训；供方提供的产品介绍等。</w:t>
            </w:r>
          </w:p>
          <w:p>
            <w:pPr>
              <w:pStyle w:val="10"/>
              <w:numPr>
                <w:ilvl w:val="0"/>
                <w:numId w:val="4"/>
              </w:numPr>
              <w:ind w:firstLineChars="0"/>
              <w:rPr>
                <w:sz w:val="20"/>
                <w:szCs w:val="20"/>
              </w:rPr>
            </w:pPr>
            <w:r>
              <w:rPr>
                <w:rFonts w:hint="eastAsia"/>
                <w:sz w:val="20"/>
                <w:szCs w:val="20"/>
              </w:rPr>
              <w:t>获取及保持方法：老员工传帮带新员工；存档产品信息；</w:t>
            </w:r>
          </w:p>
          <w:p>
            <w:pPr>
              <w:pStyle w:val="10"/>
              <w:numPr>
                <w:ilvl w:val="0"/>
                <w:numId w:val="4"/>
              </w:numPr>
              <w:ind w:firstLineChars="0"/>
              <w:rPr>
                <w:sz w:val="20"/>
                <w:szCs w:val="20"/>
              </w:rPr>
            </w:pPr>
            <w:r>
              <w:rPr>
                <w:rFonts w:hint="eastAsia"/>
                <w:sz w:val="20"/>
                <w:szCs w:val="20"/>
              </w:rPr>
              <w:t>为应对不断变化的的需求和法阵趋势，组织策划进行体系标准及相关知识的再培训、招聘有专业知识的销售人员等方式对确定的知识及时更新；</w:t>
            </w:r>
          </w:p>
          <w:p>
            <w:pPr>
              <w:pStyle w:val="10"/>
              <w:numPr>
                <w:ilvl w:val="0"/>
                <w:numId w:val="4"/>
              </w:numPr>
              <w:ind w:firstLineChars="0"/>
              <w:rPr>
                <w:rFonts w:asciiTheme="minorEastAsia" w:hAnsiTheme="minorEastAsia" w:eastAsiaTheme="minorEastAsia"/>
                <w:sz w:val="20"/>
                <w:szCs w:val="20"/>
              </w:rPr>
            </w:pPr>
            <w:r>
              <w:rPr>
                <w:rFonts w:hint="eastAsia" w:asciiTheme="minorEastAsia" w:hAnsiTheme="minorEastAsia" w:eastAsiaTheme="minorEastAsia"/>
                <w:sz w:val="20"/>
                <w:szCs w:val="20"/>
              </w:rPr>
              <w:t>对外来文件进行了识别收集，对外来文件进行了识别收集，现场提供有《外来文件一览表》包括质量法、标准化法、合同法、劳动法、消防法、安全法、 相关国家标准、行业标准、企业标准（供应商）、GB/T 19000-2016《质量管理体系 基础和术语》、GB/T 19001-2016《质量管理体系 要求》等法规要求。</w:t>
            </w:r>
          </w:p>
          <w:p>
            <w:pPr>
              <w:spacing w:line="240" w:lineRule="exact"/>
              <w:rPr>
                <w:rFonts w:ascii="宋体" w:hAnsi="宋体"/>
                <w:b/>
                <w:color w:val="000000" w:themeColor="text1"/>
                <w:sz w:val="20"/>
                <w:szCs w:val="20"/>
              </w:rPr>
            </w:pPr>
            <w:r>
              <w:rPr>
                <w:rFonts w:ascii="宋体" w:hAnsi="宋体"/>
                <w:b/>
                <w:color w:val="000000" w:themeColor="text1"/>
                <w:sz w:val="20"/>
                <w:szCs w:val="20"/>
              </w:rPr>
              <w:t>企业知识管理符合要求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rPr>
                <w:sz w:val="20"/>
                <w:szCs w:val="20"/>
              </w:rPr>
            </w:pPr>
            <w:r>
              <w:rPr>
                <w:rFonts w:hint="eastAsia"/>
                <w:sz w:val="20"/>
                <w:szCs w:val="20"/>
              </w:rPr>
              <w:t>质量方针：“科技领先，质量第一，顾客至上，诚实守信”</w:t>
            </w:r>
          </w:p>
          <w:p>
            <w:pPr>
              <w:spacing w:line="300" w:lineRule="exact"/>
              <w:ind w:left="1"/>
              <w:rPr>
                <w:sz w:val="20"/>
                <w:szCs w:val="20"/>
              </w:rPr>
            </w:pPr>
            <w:r>
              <w:rPr>
                <w:rFonts w:hint="eastAsia"/>
                <w:sz w:val="20"/>
                <w:szCs w:val="20"/>
              </w:rPr>
              <w:t>方针与企业的经营宗旨相适应，协调一致；通过会议传达，沟通，让全体员工理解执行。并定期进行评审（一般一年一次）</w:t>
            </w:r>
          </w:p>
          <w:p>
            <w:pPr>
              <w:spacing w:line="300" w:lineRule="exact"/>
              <w:ind w:left="1"/>
              <w:rPr>
                <w:b/>
                <w:color w:val="000000" w:themeColor="text1"/>
                <w:sz w:val="20"/>
                <w:szCs w:val="20"/>
              </w:rPr>
            </w:pPr>
            <w:r>
              <w:rPr>
                <w:rFonts w:hint="eastAsia" w:ascii="宋体" w:hAnsi="宋体" w:cs="宋体"/>
                <w:sz w:val="20"/>
                <w:szCs w:val="20"/>
              </w:rPr>
              <w:t>结论：符合标准的要求，适宜企业实际情况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内部沟通的情况：内部沟通方式：文件、会议、电话、面谈等方式进行内部沟通</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内部沟通的效果：沟通顺畅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组织对外联络，关注顾客的感受情况（QMS）：对顾客回访，进行满意度调查</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auto"/>
                <w:sz w:val="20"/>
                <w:szCs w:val="20"/>
              </w:rPr>
            </w:pPr>
            <w:r>
              <w:rPr>
                <w:rFonts w:hint="eastAsia"/>
                <w:b/>
                <w:color w:val="auto"/>
                <w:sz w:val="20"/>
                <w:szCs w:val="20"/>
              </w:rPr>
              <w:t>3.  QMS 组织对重要过程实施控制的结果</w:t>
            </w:r>
          </w:p>
          <w:p>
            <w:pPr>
              <w:spacing w:line="240" w:lineRule="exact"/>
              <w:ind w:left="188" w:leftChars="42" w:hanging="100" w:hangingChars="50"/>
              <w:rPr>
                <w:b/>
                <w:color w:val="auto"/>
                <w:sz w:val="20"/>
                <w:szCs w:val="20"/>
              </w:rPr>
            </w:pPr>
            <w:r>
              <w:rPr>
                <w:rFonts w:hint="eastAsia"/>
                <w:b/>
                <w:color w:val="auto"/>
                <w:sz w:val="20"/>
                <w:szCs w:val="20"/>
              </w:rPr>
              <w:t>(包括对QMS关键工序(过程)、特殊过程控制;评价组织对过程实施控制情况/)</w:t>
            </w:r>
          </w:p>
          <w:p>
            <w:pPr>
              <w:spacing w:line="240" w:lineRule="exact"/>
              <w:ind w:firstLine="300" w:firstLineChars="150"/>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技术服务要求：主要根据顾客提出的功能需求</w:t>
            </w:r>
            <w:r>
              <w:rPr>
                <w:rFonts w:asciiTheme="minorEastAsia" w:hAnsiTheme="minorEastAsia" w:eastAsiaTheme="minorEastAsia"/>
                <w:color w:val="auto"/>
                <w:sz w:val="20"/>
                <w:szCs w:val="20"/>
              </w:rPr>
              <w:t>/</w:t>
            </w:r>
            <w:r>
              <w:rPr>
                <w:rFonts w:hint="eastAsia" w:asciiTheme="minorEastAsia" w:hAnsiTheme="minorEastAsia" w:eastAsiaTheme="minorEastAsia"/>
                <w:color w:val="auto"/>
                <w:sz w:val="20"/>
                <w:szCs w:val="20"/>
              </w:rPr>
              <w:t>标书中明示服务要求</w:t>
            </w:r>
            <w:r>
              <w:rPr>
                <w:rFonts w:asciiTheme="minorEastAsia" w:hAnsiTheme="minorEastAsia" w:eastAsiaTheme="minorEastAsia"/>
                <w:color w:val="auto"/>
                <w:sz w:val="20"/>
                <w:szCs w:val="20"/>
              </w:rPr>
              <w:t>/</w:t>
            </w:r>
            <w:r>
              <w:rPr>
                <w:rFonts w:hint="eastAsia" w:asciiTheme="minorEastAsia" w:hAnsiTheme="minorEastAsia" w:eastAsiaTheme="minorEastAsia"/>
                <w:color w:val="auto"/>
                <w:sz w:val="20"/>
                <w:szCs w:val="20"/>
              </w:rPr>
              <w:t>服务执行的技术指标等进行控</w:t>
            </w:r>
            <w:r>
              <w:rPr>
                <w:rFonts w:asciiTheme="minorEastAsia" w:hAnsiTheme="minorEastAsia" w:eastAsiaTheme="minorEastAsia"/>
                <w:color w:val="auto"/>
                <w:sz w:val="20"/>
                <w:szCs w:val="20"/>
              </w:rPr>
              <w:t xml:space="preserve"> </w:t>
            </w:r>
            <w:r>
              <w:rPr>
                <w:rFonts w:hint="eastAsia" w:asciiTheme="minorEastAsia" w:hAnsiTheme="minorEastAsia" w:eastAsiaTheme="minorEastAsia"/>
                <w:color w:val="auto"/>
                <w:sz w:val="20"/>
                <w:szCs w:val="20"/>
              </w:rPr>
              <w:t>制，严格按要求进行了合同评审—确保能满足客户需求，控制情况较好。</w:t>
            </w:r>
            <w:r>
              <w:rPr>
                <w:rFonts w:asciiTheme="minorEastAsia" w:hAnsiTheme="minorEastAsia" w:eastAsiaTheme="minorEastAsia"/>
                <w:color w:val="auto"/>
                <w:sz w:val="20"/>
                <w:szCs w:val="20"/>
              </w:rPr>
              <w:t xml:space="preserve"> </w:t>
            </w:r>
          </w:p>
          <w:p>
            <w:pPr>
              <w:spacing w:line="240" w:lineRule="exact"/>
              <w:ind w:firstLine="300" w:firstLineChars="150"/>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采购过程控制：目前企业采购的产品主要是办公软件和硬件，首先编制采购产品验收规范、采购产品检验规程等作业文件规定采购产品质量要求；</w:t>
            </w:r>
            <w:r>
              <w:rPr>
                <w:rFonts w:asciiTheme="minorEastAsia" w:hAnsiTheme="minorEastAsia" w:eastAsiaTheme="minorEastAsia"/>
                <w:color w:val="auto"/>
                <w:sz w:val="20"/>
                <w:szCs w:val="20"/>
              </w:rPr>
              <w:t xml:space="preserve"> </w:t>
            </w:r>
            <w:r>
              <w:rPr>
                <w:rFonts w:hint="eastAsia" w:asciiTheme="minorEastAsia" w:hAnsiTheme="minorEastAsia" w:eastAsiaTheme="minorEastAsia"/>
                <w:color w:val="auto"/>
                <w:sz w:val="20"/>
                <w:szCs w:val="20"/>
              </w:rPr>
              <w:t>其次对供方进行了评价，保证采购产品</w:t>
            </w:r>
            <w:r>
              <w:rPr>
                <w:rFonts w:asciiTheme="minorEastAsia" w:hAnsiTheme="minorEastAsia" w:eastAsiaTheme="minorEastAsia"/>
                <w:color w:val="auto"/>
                <w:sz w:val="20"/>
                <w:szCs w:val="20"/>
              </w:rPr>
              <w:t>/</w:t>
            </w:r>
            <w:r>
              <w:rPr>
                <w:rFonts w:hint="eastAsia" w:asciiTheme="minorEastAsia" w:hAnsiTheme="minorEastAsia" w:eastAsiaTheme="minorEastAsia"/>
                <w:color w:val="auto"/>
                <w:sz w:val="20"/>
                <w:szCs w:val="20"/>
              </w:rPr>
              <w:t>服务的质量符合公司要求；通过制定采购计划实施采购，目前控制状况良好。</w:t>
            </w:r>
            <w:r>
              <w:rPr>
                <w:rFonts w:asciiTheme="minorEastAsia" w:hAnsiTheme="minorEastAsia" w:eastAsiaTheme="minorEastAsia"/>
                <w:color w:val="auto"/>
                <w:sz w:val="20"/>
                <w:szCs w:val="20"/>
              </w:rPr>
              <w:t xml:space="preserve"> </w:t>
            </w:r>
          </w:p>
          <w:p>
            <w:pPr>
              <w:spacing w:line="240" w:lineRule="exact"/>
              <w:ind w:firstLine="294" w:firstLineChars="147"/>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功能需求和分析过程：通过市场调研或网络调查，进行数据采集和分析，策划咨询服务报告编写流程和技术要求，编制咨询服务报告，由客户确认，进行售前</w:t>
            </w:r>
            <w:r>
              <w:rPr>
                <w:rFonts w:asciiTheme="minorEastAsia" w:hAnsiTheme="minorEastAsia" w:eastAsiaTheme="minorEastAsia"/>
                <w:color w:val="auto"/>
                <w:sz w:val="20"/>
                <w:szCs w:val="20"/>
              </w:rPr>
              <w:t>/</w:t>
            </w:r>
            <w:r>
              <w:rPr>
                <w:rFonts w:hint="eastAsia" w:asciiTheme="minorEastAsia" w:hAnsiTheme="minorEastAsia" w:eastAsiaTheme="minorEastAsia"/>
                <w:color w:val="auto"/>
                <w:sz w:val="20"/>
                <w:szCs w:val="20"/>
              </w:rPr>
              <w:t>售中</w:t>
            </w:r>
            <w:r>
              <w:rPr>
                <w:rFonts w:asciiTheme="minorEastAsia" w:hAnsiTheme="minorEastAsia" w:eastAsiaTheme="minorEastAsia"/>
                <w:color w:val="auto"/>
                <w:sz w:val="20"/>
                <w:szCs w:val="20"/>
              </w:rPr>
              <w:t>/</w:t>
            </w:r>
            <w:r>
              <w:rPr>
                <w:rFonts w:hint="eastAsia" w:asciiTheme="minorEastAsia" w:hAnsiTheme="minorEastAsia" w:eastAsiaTheme="minorEastAsia"/>
                <w:color w:val="auto"/>
                <w:sz w:val="20"/>
                <w:szCs w:val="20"/>
              </w:rPr>
              <w:t>售后服务，通过合同评审表，评审内容有交货期</w:t>
            </w:r>
            <w:r>
              <w:rPr>
                <w:rFonts w:asciiTheme="minorEastAsia" w:hAnsiTheme="minorEastAsia" w:eastAsiaTheme="minorEastAsia"/>
                <w:color w:val="auto"/>
                <w:sz w:val="20"/>
                <w:szCs w:val="20"/>
              </w:rPr>
              <w:t>/</w:t>
            </w:r>
            <w:r>
              <w:rPr>
                <w:rFonts w:hint="eastAsia" w:asciiTheme="minorEastAsia" w:hAnsiTheme="minorEastAsia" w:eastAsiaTheme="minorEastAsia"/>
                <w:color w:val="auto"/>
                <w:sz w:val="20"/>
                <w:szCs w:val="20"/>
              </w:rPr>
              <w:t>价格</w:t>
            </w:r>
            <w:r>
              <w:rPr>
                <w:rFonts w:asciiTheme="minorEastAsia" w:hAnsiTheme="minorEastAsia" w:eastAsiaTheme="minorEastAsia"/>
                <w:color w:val="auto"/>
                <w:sz w:val="20"/>
                <w:szCs w:val="20"/>
              </w:rPr>
              <w:t>/</w:t>
            </w:r>
            <w:r>
              <w:rPr>
                <w:rFonts w:hint="eastAsia" w:asciiTheme="minorEastAsia" w:hAnsiTheme="minorEastAsia" w:eastAsiaTheme="minorEastAsia"/>
                <w:color w:val="auto"/>
                <w:sz w:val="20"/>
                <w:szCs w:val="20"/>
              </w:rPr>
              <w:t>产品技术要求等，目前生产和服务过程控制情况较好。</w:t>
            </w:r>
            <w:r>
              <w:rPr>
                <w:rFonts w:asciiTheme="minorEastAsia" w:hAnsiTheme="minorEastAsia" w:eastAsiaTheme="minorEastAsia"/>
                <w:color w:val="auto"/>
                <w:sz w:val="20"/>
                <w:szCs w:val="20"/>
              </w:rPr>
              <w:t xml:space="preserve"> </w:t>
            </w:r>
          </w:p>
          <w:p>
            <w:pPr>
              <w:spacing w:line="240" w:lineRule="exact"/>
              <w:ind w:firstLine="392" w:firstLineChars="196"/>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咨询服务订单获得：公司与产品有关的要求主要体现在标书、合同及相关法律法规及标准中。一般通过电话、</w:t>
            </w:r>
            <w:r>
              <w:rPr>
                <w:rFonts w:asciiTheme="minorEastAsia" w:hAnsiTheme="minorEastAsia" w:eastAsiaTheme="minorEastAsia"/>
                <w:color w:val="auto"/>
                <w:sz w:val="20"/>
                <w:szCs w:val="20"/>
              </w:rPr>
              <w:t xml:space="preserve"> </w:t>
            </w:r>
            <w:r>
              <w:rPr>
                <w:rFonts w:hint="eastAsia" w:asciiTheme="minorEastAsia" w:hAnsiTheme="minorEastAsia" w:eastAsiaTheme="minorEastAsia"/>
                <w:color w:val="auto"/>
                <w:sz w:val="20"/>
                <w:szCs w:val="20"/>
              </w:rPr>
              <w:t>老客户介绍、招投标等方式获得咨询服务订单。在签订正式合同前，由销售部组织进行合同评审，签订合同后，</w:t>
            </w:r>
            <w:r>
              <w:rPr>
                <w:rFonts w:asciiTheme="minorEastAsia" w:hAnsiTheme="minorEastAsia" w:eastAsiaTheme="minorEastAsia"/>
                <w:color w:val="auto"/>
                <w:sz w:val="20"/>
                <w:szCs w:val="20"/>
              </w:rPr>
              <w:t xml:space="preserve"> </w:t>
            </w:r>
            <w:r>
              <w:rPr>
                <w:rFonts w:hint="eastAsia" w:asciiTheme="minorEastAsia" w:hAnsiTheme="minorEastAsia" w:eastAsiaTheme="minorEastAsia"/>
                <w:color w:val="auto"/>
                <w:sz w:val="20"/>
                <w:szCs w:val="20"/>
              </w:rPr>
              <w:t>组织生产及时与客户沟通，按时交付。收集顾客对产品的反馈信息，开展顾客满意度调查，包括顾客抱</w:t>
            </w:r>
            <w:r>
              <w:rPr>
                <w:rFonts w:asciiTheme="minorEastAsia" w:hAnsiTheme="minorEastAsia" w:eastAsiaTheme="minorEastAsia"/>
                <w:color w:val="auto"/>
                <w:sz w:val="20"/>
                <w:szCs w:val="20"/>
              </w:rPr>
              <w:t xml:space="preserve"> </w:t>
            </w:r>
            <w:r>
              <w:rPr>
                <w:rFonts w:hint="eastAsia" w:asciiTheme="minorEastAsia" w:hAnsiTheme="minorEastAsia" w:eastAsiaTheme="minorEastAsia"/>
                <w:color w:val="auto"/>
                <w:sz w:val="20"/>
                <w:szCs w:val="20"/>
              </w:rPr>
              <w:t>怨和投诉，目前未发生顾客投诉事件。</w:t>
            </w:r>
          </w:p>
          <w:p>
            <w:pPr>
              <w:spacing w:line="240" w:lineRule="exact"/>
              <w:ind w:firstLine="392" w:firstLineChars="196"/>
              <w:rPr>
                <w:rFonts w:asciiTheme="minorEastAsia" w:hAnsiTheme="minorEastAsia"/>
                <w:color w:val="auto"/>
                <w:sz w:val="20"/>
                <w:szCs w:val="20"/>
              </w:rPr>
            </w:pPr>
            <w:r>
              <w:rPr>
                <w:rFonts w:hint="eastAsia" w:asciiTheme="minorEastAsia" w:hAnsiTheme="minorEastAsia" w:eastAsiaTheme="minorEastAsia"/>
                <w:color w:val="auto"/>
                <w:sz w:val="20"/>
                <w:szCs w:val="20"/>
              </w:rPr>
              <w:t>企业外包过程：</w:t>
            </w:r>
            <w:r>
              <w:rPr>
                <w:rFonts w:hint="eastAsia"/>
                <w:color w:val="auto"/>
                <w:sz w:val="20"/>
                <w:szCs w:val="20"/>
              </w:rPr>
              <w:t>无</w:t>
            </w:r>
          </w:p>
          <w:p>
            <w:pPr>
              <w:spacing w:line="240" w:lineRule="exact"/>
              <w:ind w:firstLine="392" w:firstLineChars="196"/>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企业关键过程：合同洽谈、功能需求分析、编制项目咨询报告、提交咨询成果</w:t>
            </w:r>
          </w:p>
          <w:p>
            <w:pPr>
              <w:spacing w:line="240" w:lineRule="exact"/>
              <w:rPr>
                <w:b/>
                <w:color w:val="auto"/>
                <w:sz w:val="20"/>
                <w:szCs w:val="20"/>
              </w:rPr>
            </w:pPr>
            <w:r>
              <w:rPr>
                <w:rFonts w:hint="eastAsia" w:asciiTheme="minorEastAsia" w:hAnsiTheme="minorEastAsia" w:eastAsiaTheme="minorEastAsia"/>
                <w:color w:val="auto"/>
                <w:sz w:val="20"/>
                <w:szCs w:val="20"/>
              </w:rPr>
              <w:t>企业特殊过程：咨询服务，企业未对该过程进行确认，已开具不符合。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auto"/>
                <w:sz w:val="20"/>
                <w:szCs w:val="20"/>
              </w:rPr>
            </w:pPr>
            <w:r>
              <w:rPr>
                <w:rFonts w:hint="eastAsia"/>
                <w:b/>
                <w:color w:val="auto"/>
                <w:sz w:val="20"/>
                <w:szCs w:val="20"/>
              </w:rPr>
              <w:t>4.QMS产品/服务的标准、协议/规范的有效性以及产品/服务质量符合要求，向顾客稳定提供合格产品的情况；</w:t>
            </w:r>
          </w:p>
          <w:p>
            <w:pPr>
              <w:spacing w:line="300" w:lineRule="exact"/>
              <w:rPr>
                <w:rFonts w:hint="eastAsia"/>
                <w:b/>
                <w:color w:val="auto"/>
                <w:sz w:val="20"/>
                <w:szCs w:val="20"/>
              </w:rPr>
            </w:pPr>
            <w:r>
              <w:rPr>
                <w:rFonts w:hint="eastAsia"/>
                <w:b/>
                <w:color w:val="auto"/>
                <w:sz w:val="20"/>
                <w:szCs w:val="20"/>
              </w:rPr>
              <w:t>企业在提供咨询服务的过程中执行客户技术要求及所咨询行业或产品执行的相关国家标准、行业标准</w:t>
            </w:r>
          </w:p>
          <w:p>
            <w:pPr>
              <w:spacing w:line="240" w:lineRule="exact"/>
              <w:rPr>
                <w:rFonts w:hint="eastAsia"/>
                <w:b/>
                <w:color w:val="auto"/>
                <w:sz w:val="20"/>
                <w:szCs w:val="20"/>
              </w:rPr>
            </w:pPr>
            <w:r>
              <w:rPr>
                <w:rFonts w:hint="eastAsia"/>
                <w:b/>
                <w:color w:val="auto"/>
                <w:sz w:val="20"/>
                <w:szCs w:val="20"/>
              </w:rPr>
              <w:t>目前提供给客户的咨询服务均获得客户满意，未有不合格现象发生。</w:t>
            </w:r>
          </w:p>
          <w:p>
            <w:pPr>
              <w:spacing w:line="240" w:lineRule="exact"/>
              <w:rPr>
                <w:b/>
                <w:color w:val="auto"/>
                <w:sz w:val="20"/>
                <w:szCs w:val="20"/>
              </w:rPr>
            </w:pPr>
          </w:p>
          <w:p>
            <w:pPr>
              <w:spacing w:line="240" w:lineRule="exact"/>
              <w:rPr>
                <w:b/>
                <w:color w:val="auto"/>
                <w:sz w:val="20"/>
                <w:szCs w:val="20"/>
              </w:rPr>
            </w:pPr>
          </w:p>
          <w:p>
            <w:pPr>
              <w:spacing w:line="240" w:lineRule="exact"/>
              <w:rPr>
                <w:b/>
                <w:color w:val="auto"/>
                <w:sz w:val="20"/>
                <w:szCs w:val="20"/>
              </w:rPr>
            </w:pPr>
            <w:r>
              <w:rPr>
                <w:rFonts w:hint="eastAsia"/>
                <w:b/>
                <w:color w:val="auto"/>
                <w:sz w:val="20"/>
                <w:szCs w:val="20"/>
              </w:rPr>
              <w:t>(应说明相关证据)：</w:t>
            </w:r>
          </w:p>
          <w:p>
            <w:pPr>
              <w:spacing w:line="240" w:lineRule="exact"/>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rPr>
                <w:szCs w:val="21"/>
              </w:rPr>
            </w:pPr>
            <w:r>
              <w:rPr>
                <w:rFonts w:hint="eastAsia"/>
                <w:szCs w:val="21"/>
              </w:rPr>
              <w:t>1、对日常工作检查，管理评审，内审，其他考评，发现的不符合及时采取纠正，防止事态发展，进行原因分析，采取必要的纠正预防措施，防止事件的发生、再发生。</w:t>
            </w:r>
          </w:p>
          <w:p>
            <w:pPr>
              <w:rPr>
                <w:szCs w:val="21"/>
              </w:rPr>
            </w:pPr>
            <w:r>
              <w:rPr>
                <w:rFonts w:hint="eastAsia"/>
                <w:szCs w:val="21"/>
              </w:rPr>
              <w:t>2、对管理评审、内审提出的不符合及改进要求，进行原因分析，制定了具体措施，目前已部分实施完成。</w:t>
            </w:r>
          </w:p>
          <w:p>
            <w:pPr>
              <w:spacing w:line="240" w:lineRule="exact"/>
              <w:rPr>
                <w:b/>
                <w:color w:val="000000" w:themeColor="text1"/>
                <w:sz w:val="20"/>
                <w:szCs w:val="20"/>
              </w:rPr>
            </w:pPr>
            <w:r>
              <w:rPr>
                <w:rFonts w:hint="eastAsia"/>
                <w:szCs w:val="21"/>
              </w:rPr>
              <w:t>目前没有发生不合格的情况。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r>
              <w:rPr>
                <w:rFonts w:hint="eastAsia"/>
                <w:color w:val="000000" w:themeColor="text1"/>
                <w:sz w:val="20"/>
                <w:szCs w:val="20"/>
              </w:rPr>
              <w:t>提供了文件化可分解的目标、指标，经查问分解到各部门，经查阅建立的管理目标符合标准要求，在 方针的框架下展开，每季度考核一次，查看 2020 年 3 季度的考核结果，经查目标完成。 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5"/>
              </w:numPr>
              <w:spacing w:line="240" w:lineRule="exact"/>
              <w:ind w:left="100" w:hanging="100" w:hangingChars="50"/>
              <w:rPr>
                <w:b/>
                <w:color w:val="000000" w:themeColor="text1"/>
                <w:sz w:val="20"/>
                <w:szCs w:val="20"/>
              </w:rPr>
            </w:pPr>
            <w:r>
              <w:rPr>
                <w:rFonts w:hint="eastAsia"/>
                <w:b/>
                <w:color w:val="000000" w:themeColor="text1"/>
                <w:sz w:val="20"/>
                <w:szCs w:val="20"/>
              </w:rPr>
              <w:t>顾客满意</w:t>
            </w:r>
          </w:p>
          <w:p>
            <w:pPr>
              <w:spacing w:line="240" w:lineRule="exact"/>
              <w:ind w:left="100" w:hanging="100" w:hangingChars="50"/>
              <w:rPr>
                <w:color w:val="000000" w:themeColor="text1"/>
                <w:sz w:val="20"/>
                <w:szCs w:val="20"/>
              </w:rPr>
            </w:pPr>
            <w:r>
              <w:rPr>
                <w:rFonts w:hint="eastAsia"/>
                <w:b/>
                <w:color w:val="000000" w:themeColor="text1"/>
                <w:sz w:val="20"/>
                <w:szCs w:val="20"/>
              </w:rPr>
              <w:t xml:space="preserve">  </w:t>
            </w:r>
            <w:r>
              <w:rPr>
                <w:rFonts w:hint="eastAsia"/>
                <w:color w:val="000000" w:themeColor="text1"/>
                <w:sz w:val="20"/>
                <w:szCs w:val="20"/>
              </w:rPr>
              <w:t>公司通过电话，走访等形式，接受顾客反馈，了解顾客满意度信息，发放调查表对顾客满意度进</w:t>
            </w:r>
            <w:r>
              <w:rPr>
                <w:color w:val="000000" w:themeColor="text1"/>
                <w:sz w:val="20"/>
                <w:szCs w:val="20"/>
              </w:rPr>
              <w:t xml:space="preserve"> </w:t>
            </w:r>
            <w:r>
              <w:rPr>
                <w:rFonts w:hint="eastAsia"/>
                <w:color w:val="000000" w:themeColor="text1"/>
                <w:sz w:val="20"/>
                <w:szCs w:val="20"/>
              </w:rPr>
              <w:t>行定量测量。</w:t>
            </w:r>
            <w:r>
              <w:rPr>
                <w:color w:val="000000" w:themeColor="text1"/>
                <w:sz w:val="20"/>
                <w:szCs w:val="20"/>
              </w:rPr>
              <w:t xml:space="preserve"> </w:t>
            </w:r>
            <w:r>
              <w:rPr>
                <w:rFonts w:hint="eastAsia"/>
                <w:color w:val="000000" w:themeColor="text1"/>
                <w:sz w:val="20"/>
                <w:szCs w:val="20"/>
              </w:rPr>
              <w:t>提供“顾客满意程度调查表”，调查主要内容：质量、价格、外观、服务等方面的满意程度等，各项得分求平均值得最终结果。提供顾客满意调查分析。2020年</w:t>
            </w:r>
            <w:r>
              <w:rPr>
                <w:color w:val="000000" w:themeColor="text1"/>
                <w:sz w:val="20"/>
                <w:szCs w:val="20"/>
              </w:rPr>
              <w:t>3</w:t>
            </w:r>
            <w:r>
              <w:rPr>
                <w:rFonts w:hint="eastAsia"/>
                <w:color w:val="000000" w:themeColor="text1"/>
                <w:sz w:val="20"/>
                <w:szCs w:val="20"/>
              </w:rPr>
              <w:t xml:space="preserve">季度顾客满意率97%。 </w:t>
            </w:r>
          </w:p>
          <w:p>
            <w:pPr>
              <w:spacing w:line="240" w:lineRule="exact"/>
              <w:ind w:left="100" w:hanging="100" w:hangingChars="50"/>
              <w:rPr>
                <w:b/>
                <w:color w:val="000000" w:themeColor="text1"/>
                <w:sz w:val="20"/>
                <w:szCs w:val="20"/>
              </w:rPr>
            </w:pPr>
            <w:r>
              <w:rPr>
                <w:rFonts w:hint="eastAsia"/>
                <w:color w:val="000000" w:themeColor="text1"/>
                <w:sz w:val="20"/>
                <w:szCs w:val="20"/>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ind w:left="199" w:leftChars="95" w:firstLine="300" w:firstLineChars="150"/>
              <w:rPr>
                <w:color w:val="000000" w:themeColor="text1"/>
                <w:sz w:val="20"/>
                <w:szCs w:val="20"/>
              </w:rPr>
            </w:pPr>
            <w:r>
              <w:rPr>
                <w:rFonts w:hint="eastAsia"/>
                <w:color w:val="000000" w:themeColor="text1"/>
                <w:sz w:val="20"/>
                <w:szCs w:val="20"/>
              </w:rPr>
              <w:t>按照策划的安排于 2020 年 6月 15-16 日进行了一次集中式的内部审核，经查阅资料及与管代沟通，内审 员没有审核自己的工作，查阅内审记录，符合策划安排，提出 1 项不符合，责任部门进行了分析原因、 采取纠正/纠正措施并验证了有效性，内审报告中对管理体系的符合性、充分性和运行有效性进行了评价。</w:t>
            </w:r>
          </w:p>
          <w:p>
            <w:pPr>
              <w:spacing w:line="240" w:lineRule="exact"/>
              <w:ind w:left="100" w:hanging="100" w:hangingChars="50"/>
              <w:rPr>
                <w:b/>
                <w:color w:val="000000" w:themeColor="text1"/>
                <w:sz w:val="20"/>
                <w:szCs w:val="20"/>
              </w:rPr>
            </w:pPr>
            <w:r>
              <w:rPr>
                <w:rFonts w:hint="eastAsia"/>
                <w:color w:val="000000" w:themeColor="text1"/>
                <w:sz w:val="20"/>
                <w:szCs w:val="20"/>
              </w:rPr>
              <w:t xml:space="preserve"> 内审符合要求。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color w:val="000000" w:themeColor="text1"/>
                <w:sz w:val="20"/>
                <w:szCs w:val="20"/>
              </w:rPr>
              <w:t>按照策划的安排于 2020 年6 月 30日进行了一次管理评审，由总经理主持，各部门负责人汇报体系运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color w:val="000000" w:themeColor="text1"/>
                <w:sz w:val="20"/>
                <w:szCs w:val="20"/>
              </w:rPr>
              <w:t>对内审提出的不符合进行原因分析，并完成了整改。对管理评审提出的不符合及改进要求，进行原 因分析，制定了具体措施，目前已实施。纠正措施尚可，预防措施欠缺。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auto"/>
          <w:sz w:val="20"/>
        </w:rPr>
      </w:pPr>
      <w:r>
        <w:rPr>
          <w:rFonts w:hint="eastAsia"/>
          <w:b/>
          <w:color w:val="000000" w:themeColor="text1"/>
          <w:sz w:val="26"/>
          <w:szCs w:val="26"/>
        </w:rPr>
        <w:t>七、</w:t>
      </w:r>
      <w:r>
        <w:rPr>
          <w:rFonts w:hint="eastAsia"/>
          <w:b/>
          <w:color w:val="auto"/>
          <w:sz w:val="26"/>
          <w:szCs w:val="26"/>
        </w:rPr>
        <w:t>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本次审核共开具不符合项报告1项；其中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严重不符合0项，一般不符合1项，观察项0项分布在技术部门8</w:t>
      </w:r>
      <w:r>
        <w:rPr>
          <w:b/>
          <w:color w:val="000000" w:themeColor="text1"/>
        </w:rPr>
        <w:t>.5.1</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numPr>
          <w:ilvl w:val="0"/>
          <w:numId w:val="6"/>
        </w:numPr>
        <w:spacing w:line="360" w:lineRule="auto"/>
        <w:ind w:left="1" w:leftChars="-472" w:hanging="992" w:hangingChars="380"/>
        <w:rPr>
          <w:b/>
          <w:color w:val="000000" w:themeColor="text1"/>
          <w:sz w:val="26"/>
          <w:szCs w:val="26"/>
        </w:rPr>
      </w:pPr>
      <w:r>
        <w:rPr>
          <w:rFonts w:hint="eastAsia"/>
          <w:b/>
          <w:color w:val="000000" w:themeColor="text1"/>
          <w:sz w:val="26"/>
          <w:szCs w:val="26"/>
        </w:rPr>
        <w:t>审核结论</w:t>
      </w:r>
    </w:p>
    <w:p>
      <w:pPr>
        <w:spacing w:line="360" w:lineRule="auto"/>
        <w:rPr>
          <w:b/>
          <w:color w:val="000000" w:themeColor="text1"/>
          <w:sz w:val="26"/>
          <w:szCs w:val="26"/>
        </w:rPr>
      </w:pP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rFonts w:ascii="宋体" w:hAnsi="宋体" w:cs="宋体"/>
                <w:color w:val="000000"/>
                <w:kern w:val="0"/>
                <w:szCs w:val="21"/>
              </w:rPr>
            </w:pPr>
            <w:r>
              <w:rPr>
                <w:rFonts w:hint="eastAsia" w:ascii="宋体" w:hAnsi="宋体" w:cs="宋体"/>
                <w:color w:val="000000"/>
                <w:kern w:val="0"/>
                <w:szCs w:val="21"/>
              </w:rPr>
              <w:t>根据审核发现，审核组一致认为，</w:t>
            </w:r>
            <w:r>
              <w:rPr>
                <w:rFonts w:ascii="宋体" w:hAnsi="宋体" w:cs="宋体"/>
                <w:color w:val="000000"/>
                <w:kern w:val="0"/>
                <w:szCs w:val="21"/>
              </w:rPr>
              <w:t>石家庄弘益节能环保技术有限公司</w:t>
            </w:r>
          </w:p>
          <w:p>
            <w:pPr>
              <w:spacing w:line="240" w:lineRule="exact"/>
              <w:rPr>
                <w:rFonts w:ascii="宋体" w:hAnsi="宋体" w:cs="宋体"/>
                <w:color w:val="000000"/>
                <w:kern w:val="0"/>
                <w:szCs w:val="21"/>
              </w:rPr>
            </w:pPr>
            <w:r>
              <w:rPr>
                <w:rFonts w:hint="eastAsia" w:ascii="宋体" w:hAnsi="宋体" w:cs="宋体"/>
                <w:color w:val="000000"/>
                <w:kern w:val="0"/>
                <w:szCs w:val="21"/>
              </w:rPr>
              <w:t xml:space="preserve">■质量□环境□职业健康安全□食品安全 管理体系： </w:t>
            </w:r>
          </w:p>
          <w:p>
            <w:pPr>
              <w:spacing w:line="240" w:lineRule="exact"/>
              <w:rPr>
                <w:rFonts w:ascii="宋体" w:hAnsi="宋体" w:cs="宋体"/>
                <w:color w:val="000000"/>
                <w:kern w:val="0"/>
                <w:szCs w:val="21"/>
              </w:rPr>
            </w:pPr>
            <w:r>
              <w:rPr>
                <w:rFonts w:hint="eastAsia" w:ascii="宋体" w:hAnsi="宋体" w:cs="宋体"/>
                <w:color w:val="000000"/>
                <w:kern w:val="0"/>
                <w:szCs w:val="21"/>
              </w:rPr>
              <w:t xml:space="preserve">审核准则的要求 </w:t>
            </w:r>
          </w:p>
          <w:p>
            <w:pPr>
              <w:spacing w:line="240" w:lineRule="exact"/>
              <w:rPr>
                <w:rFonts w:ascii="宋体" w:hAnsi="宋体" w:cs="宋体"/>
                <w:color w:val="000000"/>
                <w:kern w:val="0"/>
                <w:szCs w:val="21"/>
              </w:rPr>
            </w:pPr>
            <w:r>
              <w:rPr>
                <w:rFonts w:hint="eastAsia" w:ascii="宋体" w:hAnsi="宋体" w:cs="宋体"/>
                <w:color w:val="000000"/>
                <w:kern w:val="0"/>
                <w:szCs w:val="21"/>
              </w:rPr>
              <w:t xml:space="preserve">■符合 □不符合 适用要求 </w:t>
            </w:r>
          </w:p>
          <w:p>
            <w:pPr>
              <w:spacing w:line="240" w:lineRule="exact"/>
              <w:rPr>
                <w:rFonts w:ascii="宋体" w:hAnsi="宋体" w:cs="宋体"/>
                <w:color w:val="000000"/>
                <w:kern w:val="0"/>
                <w:szCs w:val="21"/>
              </w:rPr>
            </w:pPr>
            <w:r>
              <w:rPr>
                <w:rFonts w:hint="eastAsia" w:ascii="宋体" w:hAnsi="宋体" w:cs="宋体"/>
                <w:color w:val="000000"/>
                <w:kern w:val="0"/>
                <w:szCs w:val="21"/>
              </w:rPr>
              <w:t>■满足 □不满足 实现预期结果的能力</w:t>
            </w:r>
          </w:p>
          <w:p>
            <w:pPr>
              <w:spacing w:line="240" w:lineRule="exact"/>
              <w:rPr>
                <w:rFonts w:ascii="宋体" w:hAnsi="宋体" w:cs="宋体"/>
                <w:color w:val="000000"/>
                <w:kern w:val="0"/>
                <w:szCs w:val="21"/>
              </w:rPr>
            </w:pPr>
            <w:r>
              <w:rPr>
                <w:rFonts w:hint="eastAsia" w:ascii="宋体" w:hAnsi="宋体" w:cs="宋体"/>
                <w:color w:val="000000"/>
                <w:kern w:val="0"/>
                <w:szCs w:val="21"/>
              </w:rPr>
              <w:t xml:space="preserve">■满足 □不满足 内部审核和管理评审过程 </w:t>
            </w:r>
          </w:p>
          <w:p>
            <w:pPr>
              <w:spacing w:line="240" w:lineRule="exact"/>
              <w:rPr>
                <w:rFonts w:ascii="宋体" w:hAnsi="宋体" w:cs="宋体"/>
                <w:color w:val="000000"/>
                <w:kern w:val="0"/>
                <w:szCs w:val="21"/>
              </w:rPr>
            </w:pPr>
          </w:p>
          <w:p>
            <w:pPr>
              <w:spacing w:line="240" w:lineRule="exact"/>
              <w:rPr>
                <w:rFonts w:ascii="宋体" w:hAnsi="宋体" w:cs="宋体"/>
                <w:color w:val="000000"/>
                <w:kern w:val="0"/>
                <w:szCs w:val="21"/>
              </w:rPr>
            </w:pPr>
            <w:r>
              <w:rPr>
                <w:rFonts w:hint="eastAsia" w:ascii="宋体" w:hAnsi="宋体" w:cs="宋体"/>
                <w:color w:val="000000"/>
                <w:kern w:val="0"/>
                <w:szCs w:val="21"/>
              </w:rPr>
              <w:t xml:space="preserve">■有效 □无效 审核目的 </w:t>
            </w:r>
          </w:p>
          <w:p>
            <w:pPr>
              <w:spacing w:line="240" w:lineRule="exact"/>
              <w:rPr>
                <w:rFonts w:ascii="宋体" w:hAnsi="宋体" w:cs="宋体"/>
                <w:color w:val="000000"/>
                <w:kern w:val="0"/>
                <w:szCs w:val="21"/>
              </w:rPr>
            </w:pPr>
            <w:r>
              <w:rPr>
                <w:rFonts w:hint="eastAsia" w:ascii="宋体" w:hAnsi="宋体" w:cs="宋体"/>
                <w:color w:val="000000"/>
                <w:kern w:val="0"/>
                <w:szCs w:val="21"/>
              </w:rPr>
              <w:t xml:space="preserve">■达到 □未达到 体系运行 </w:t>
            </w:r>
          </w:p>
          <w:p>
            <w:pPr>
              <w:spacing w:line="240" w:lineRule="exact"/>
              <w:rPr>
                <w:rFonts w:ascii="宋体" w:hAnsi="宋体" w:cs="宋体"/>
                <w:color w:val="000000"/>
                <w:kern w:val="0"/>
                <w:szCs w:val="21"/>
              </w:rPr>
            </w:pPr>
            <w:r>
              <w:rPr>
                <w:rFonts w:hint="eastAsia" w:ascii="宋体" w:hAnsi="宋体" w:cs="宋体"/>
                <w:color w:val="000000"/>
                <w:kern w:val="0"/>
                <w:szCs w:val="21"/>
              </w:rPr>
              <w:t>■有效 □无效</w:t>
            </w:r>
          </w:p>
          <w:p>
            <w:pPr>
              <w:spacing w:line="240" w:lineRule="exact"/>
              <w:rPr>
                <w:rFonts w:ascii="宋体" w:hAnsi="宋体" w:cs="宋体"/>
                <w:color w:val="000000"/>
                <w:kern w:val="0"/>
                <w:szCs w:val="21"/>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auto"/>
                <w:szCs w:val="21"/>
              </w:rPr>
              <w:t>(</w:t>
            </w:r>
            <w:r>
              <w:rPr>
                <w:rFonts w:hint="eastAsia"/>
                <w:b/>
                <w:color w:val="auto"/>
                <w:spacing w:val="-10"/>
                <w:szCs w:val="21"/>
              </w:rPr>
              <w:sym w:font="Wingdings 2" w:char="0052"/>
            </w:r>
            <w:r>
              <w:rPr>
                <w:rFonts w:hint="eastAsia"/>
                <w:b/>
                <w:color w:val="auto"/>
                <w:szCs w:val="21"/>
              </w:rPr>
              <w:t>QMS</w:t>
            </w:r>
            <w:r>
              <w:rPr>
                <w:rFonts w:hint="eastAsia"/>
                <w:b/>
                <w:color w:val="000000" w:themeColor="text1"/>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rPr>
          <w:rFonts w:hint="eastAsia" w:eastAsia="宋体"/>
          <w:sz w:val="22"/>
          <w:szCs w:val="22"/>
          <w:lang w:eastAsia="zh-CN"/>
        </w:rPr>
        <w:drawing>
          <wp:inline distT="0" distB="0" distL="114300" distR="114300">
            <wp:extent cx="1076325" cy="219075"/>
            <wp:effectExtent l="0" t="0" r="9525" b="9525"/>
            <wp:docPr id="3" name="图片 3" descr="bb6a5c841a37020f1737749b4fa1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b6a5c841a37020f1737749b4fa126c"/>
                    <pic:cNvPicPr>
                      <a:picLocks noChangeAspect="1"/>
                    </pic:cNvPicPr>
                  </pic:nvPicPr>
                  <pic:blipFill>
                    <a:blip r:embed="rId6"/>
                    <a:stretch>
                      <a:fillRect/>
                    </a:stretch>
                  </pic:blipFill>
                  <pic:spPr>
                    <a:xfrm>
                      <a:off x="0" y="0"/>
                      <a:ext cx="1076325" cy="219075"/>
                    </a:xfrm>
                    <a:prstGeom prst="rect">
                      <a:avLst/>
                    </a:prstGeom>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rPr>
          <w:sz w:val="21"/>
          <w:szCs w:val="21"/>
        </w:rPr>
        <w:drawing>
          <wp:inline distT="0" distB="0" distL="0" distR="0">
            <wp:extent cx="563245" cy="168275"/>
            <wp:effectExtent l="0" t="0" r="8255"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srcRect/>
                    <a:stretch>
                      <a:fillRect/>
                    </a:stretch>
                  </pic:blipFill>
                  <pic:spPr>
                    <a:xfrm>
                      <a:off x="0" y="0"/>
                      <a:ext cx="563245" cy="168275"/>
                    </a:xfrm>
                    <a:prstGeom prst="rect">
                      <a:avLst/>
                    </a:prstGeom>
                    <a:noFill/>
                    <a:ln w="9525">
                      <a:noFill/>
                      <a:miter lim="800000"/>
                      <a:headEnd/>
                      <a:tailEnd/>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29</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bookmarkStart w:id="22" w:name="_GoBack"/>
      <w:bookmarkEnd w:id="22"/>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QMS( 1  )个一般不符合，( 0 )个严重不符合</w:t>
      </w:r>
      <w:r>
        <w:rPr>
          <w:rFonts w:hint="eastAsia"/>
          <w:b/>
          <w:color w:val="auto"/>
          <w:szCs w:val="21"/>
        </w:rPr>
        <w:t>，</w:t>
      </w:r>
      <w:r>
        <w:rPr>
          <w:rFonts w:hint="eastAsia"/>
          <w:b/>
          <w:color w:val="auto"/>
          <w:spacing w:val="-10"/>
          <w:szCs w:val="21"/>
        </w:rPr>
        <w:sym w:font="Wingdings 2" w:char="0052"/>
      </w:r>
      <w:r>
        <w:rPr>
          <w:rFonts w:hint="eastAsia"/>
          <w:b/>
          <w:color w:val="auto"/>
          <w:szCs w:val="21"/>
        </w:rPr>
        <w:t>验证合</w:t>
      </w:r>
      <w:r>
        <w:rPr>
          <w:rFonts w:hint="eastAsia"/>
          <w:b/>
          <w:color w:val="000000" w:themeColor="text1"/>
          <w:szCs w:val="21"/>
        </w:rPr>
        <w:t>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7"/>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认证评定负责人：日期：年月日</w:t>
      </w:r>
    </w:p>
    <w:p>
      <w:pPr>
        <w:numPr>
          <w:ilvl w:val="0"/>
          <w:numId w:val="7"/>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PMingLiU">
    <w:panose1 w:val="02020500000000000000"/>
    <w:charset w:val="88"/>
    <w:family w:val="auto"/>
    <w:pitch w:val="default"/>
    <w:sig w:usb0="A00002FF" w:usb1="28CFFCFA" w:usb2="00000016"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7B2741"/>
    <w:multiLevelType w:val="singleLevel"/>
    <w:tmpl w:val="957B2741"/>
    <w:lvl w:ilvl="0" w:tentative="0">
      <w:start w:val="2"/>
      <w:numFmt w:val="decimal"/>
      <w:suff w:val="nothing"/>
      <w:lvlText w:val="%1、"/>
      <w:lvlJc w:val="left"/>
    </w:lvl>
  </w:abstractNum>
  <w:abstractNum w:abstractNumId="1">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1FDCF3"/>
    <w:multiLevelType w:val="singleLevel"/>
    <w:tmpl w:val="4F1FDCF3"/>
    <w:lvl w:ilvl="0" w:tentative="0">
      <w:start w:val="2"/>
      <w:numFmt w:val="decimal"/>
      <w:lvlText w:val="%1."/>
      <w:lvlJc w:val="left"/>
      <w:pPr>
        <w:tabs>
          <w:tab w:val="left" w:pos="312"/>
        </w:tabs>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6">
    <w:nsid w:val="6A88D990"/>
    <w:multiLevelType w:val="singleLevel"/>
    <w:tmpl w:val="6A88D990"/>
    <w:lvl w:ilvl="0" w:tentative="0">
      <w:start w:val="10"/>
      <w:numFmt w:val="chineseCounting"/>
      <w:suff w:val="nothing"/>
      <w:lvlText w:val="%1、"/>
      <w:lvlJc w:val="left"/>
      <w:rPr>
        <w:rFonts w:hint="eastAsia"/>
      </w:rPr>
    </w:lvl>
  </w:abstractNum>
  <w:num w:numId="1">
    <w:abstractNumId w:val="2"/>
  </w:num>
  <w:num w:numId="2">
    <w:abstractNumId w:val="0"/>
  </w:num>
  <w:num w:numId="3">
    <w:abstractNumId w:val="4"/>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54393"/>
    <w:rsid w:val="0046470B"/>
    <w:rsid w:val="0051354D"/>
    <w:rsid w:val="006449C5"/>
    <w:rsid w:val="00A83D54"/>
    <w:rsid w:val="00D54393"/>
    <w:rsid w:val="1BB21FC2"/>
    <w:rsid w:val="301929A2"/>
    <w:rsid w:val="3FE05080"/>
    <w:rsid w:val="40937504"/>
    <w:rsid w:val="41B67A81"/>
    <w:rsid w:val="42E90809"/>
    <w:rsid w:val="4C0139A2"/>
    <w:rsid w:val="6E806F7E"/>
    <w:rsid w:val="778174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字符"/>
    <w:basedOn w:val="8"/>
    <w:link w:val="4"/>
    <w:qFormat/>
    <w:uiPriority w:val="99"/>
    <w:rPr>
      <w:rFonts w:ascii="Times New Roman" w:hAnsi="Times New Roman" w:eastAsia="宋体" w:cs="Times New Roman"/>
      <w:sz w:val="18"/>
      <w:szCs w:val="18"/>
    </w:rPr>
  </w:style>
  <w:style w:type="character" w:customStyle="1" w:styleId="12">
    <w:name w:val="页脚 字符"/>
    <w:basedOn w:val="8"/>
    <w:link w:val="3"/>
    <w:qFormat/>
    <w:uiPriority w:val="99"/>
    <w:rPr>
      <w:rFonts w:ascii="Times New Roman" w:hAnsi="Times New Roman" w:eastAsia="宋体" w:cs="Times New Roman"/>
      <w:sz w:val="18"/>
      <w:szCs w:val="18"/>
    </w:rPr>
  </w:style>
  <w:style w:type="character" w:customStyle="1" w:styleId="13">
    <w:name w:val="批注框文本 字符"/>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emf"/><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1330</Words>
  <Characters>7586</Characters>
  <Lines>63</Lines>
  <Paragraphs>17</Paragraphs>
  <TotalTime>3</TotalTime>
  <ScaleCrop>false</ScaleCrop>
  <LinksUpToDate>false</LinksUpToDate>
  <CharactersWithSpaces>8899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2020-12-31T07:09:48Z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