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临海市上东物业有限责任公司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程晓庆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Q:35.15.00,35.16.03,39.02.01</w:t>
            </w:r>
          </w:p>
          <w:p>
            <w:pPr>
              <w:spacing w:line="240" w:lineRule="exact"/>
              <w:jc w:val="center"/>
              <w:rPr>
                <w:b/>
                <w:color w:val="000000" w:themeColor="text1"/>
                <w:sz w:val="20"/>
                <w:szCs w:val="20"/>
              </w:rPr>
            </w:pPr>
            <w:r>
              <w:rPr>
                <w:b/>
                <w:color w:val="000000" w:themeColor="text1"/>
                <w:sz w:val="20"/>
                <w:szCs w:val="20"/>
              </w:rPr>
              <w:t>E:35.15.00,35.16.03,39.02.01</w:t>
            </w:r>
          </w:p>
          <w:p>
            <w:pPr>
              <w:spacing w:line="240" w:lineRule="exact"/>
              <w:jc w:val="center"/>
              <w:rPr>
                <w:b/>
                <w:color w:val="000000" w:themeColor="text1"/>
                <w:sz w:val="20"/>
                <w:szCs w:val="20"/>
              </w:rPr>
            </w:pPr>
            <w:r>
              <w:rPr>
                <w:b/>
                <w:color w:val="000000" w:themeColor="text1"/>
                <w:sz w:val="20"/>
                <w:szCs w:val="20"/>
              </w:rPr>
              <w:t>O:35.15.00,35.16.03,39.02.01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孙太平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Q:31.04.01</w:t>
            </w:r>
          </w:p>
          <w:p>
            <w:pPr>
              <w:spacing w:line="240" w:lineRule="exact"/>
              <w:jc w:val="center"/>
              <w:rPr>
                <w:b/>
                <w:color w:val="000000" w:themeColor="text1"/>
                <w:sz w:val="20"/>
                <w:szCs w:val="20"/>
              </w:rPr>
            </w:pPr>
            <w:r>
              <w:rPr>
                <w:b/>
                <w:color w:val="000000" w:themeColor="text1"/>
                <w:sz w:val="20"/>
                <w:szCs w:val="20"/>
              </w:rPr>
              <w:t>E:31.04.01</w:t>
            </w:r>
          </w:p>
          <w:p>
            <w:pPr>
              <w:spacing w:line="240" w:lineRule="exact"/>
              <w:jc w:val="center"/>
              <w:rPr>
                <w:b/>
                <w:color w:val="000000" w:themeColor="text1"/>
                <w:sz w:val="20"/>
                <w:szCs w:val="20"/>
              </w:rPr>
            </w:pPr>
            <w:r>
              <w:rPr>
                <w:b/>
                <w:color w:val="000000" w:themeColor="text1"/>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4"/>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临海市上东物业有限责任公司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浙江省台州市临海市头门港新区靖海大道9-1号（自主申报）</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317000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浙江省台州市临海市头门港新区靖海大道9-1号（自主申报）</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严剑江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0576-89368007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杨振威</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严剑江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Q：物业管理，城市生活垃圾清扫、收集、运输，河道保洁(限许可范围内）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E：物业管理，城市生活垃圾清扫、收集、运输，河道保洁(限许可范围内）所涉及场所的相关环境活动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O：物业管理，城市生活垃圾清扫、收集、运输，河道保洁(限许可范围内）所涉及场所的相关职业健康安全管理活动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Q：31.04.01;35.15.00;35.16.03;39.02.01</w:t>
            </w:r>
          </w:p>
          <w:p>
            <w:pPr>
              <w:spacing w:line="320" w:lineRule="exact"/>
              <w:rPr>
                <w:rFonts w:ascii="宋体" w:hAnsi="宋体"/>
                <w:b/>
                <w:color w:val="000000" w:themeColor="text1"/>
                <w:sz w:val="20"/>
                <w:szCs w:val="20"/>
              </w:rPr>
            </w:pPr>
            <w:r>
              <w:rPr>
                <w:rFonts w:ascii="宋体" w:hAnsi="宋体"/>
                <w:b/>
                <w:color w:val="000000" w:themeColor="text1"/>
                <w:sz w:val="20"/>
                <w:szCs w:val="20"/>
              </w:rPr>
              <w:t>E：31.04.01;35.15.00;35.16.03;39.02.01</w:t>
            </w:r>
          </w:p>
          <w:p>
            <w:pPr>
              <w:spacing w:line="320" w:lineRule="exact"/>
              <w:rPr>
                <w:rFonts w:ascii="宋体" w:hAnsi="宋体"/>
                <w:b/>
                <w:color w:val="000000" w:themeColor="text1"/>
                <w:sz w:val="20"/>
                <w:szCs w:val="20"/>
              </w:rPr>
            </w:pPr>
            <w:r>
              <w:rPr>
                <w:rFonts w:ascii="宋体" w:hAnsi="宋体"/>
                <w:b/>
                <w:color w:val="000000" w:themeColor="text1"/>
                <w:sz w:val="20"/>
                <w:szCs w:val="20"/>
              </w:rPr>
              <w:t>O：31.04.01;35.15.00;35.16.03;39.02.01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见多场所清单。</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w:t>
            </w:r>
            <w:r>
              <w:rPr>
                <w:rFonts w:hint="eastAsia" w:cs="宋体" w:asciiTheme="minorEastAsia" w:hAnsiTheme="minorEastAsia" w:eastAsiaTheme="minorEastAsia"/>
                <w:sz w:val="20"/>
                <w:szCs w:val="20"/>
                <w:lang w:val="en-US" w:eastAsia="zh-CN"/>
              </w:rPr>
              <w:t>内审审核、</w:t>
            </w:r>
            <w:r>
              <w:rPr>
                <w:rFonts w:hint="eastAsia" w:cs="宋体" w:asciiTheme="minorEastAsia" w:hAnsiTheme="minorEastAsia" w:eastAsiaTheme="minorEastAsia"/>
                <w:sz w:val="20"/>
                <w:szCs w:val="20"/>
              </w:rPr>
              <w:t>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综合部/财务部</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基础设施、过程环境、人力资源管理过程；资源提供与管理过程控制；</w:t>
            </w:r>
            <w:r>
              <w:rPr>
                <w:rFonts w:hint="eastAsia" w:cs="宋体" w:asciiTheme="minorEastAsia" w:hAnsiTheme="minorEastAsia" w:eastAsiaTheme="minorEastAsia"/>
                <w:sz w:val="20"/>
                <w:szCs w:val="20"/>
                <w:lang w:val="en-US" w:eastAsia="zh-CN"/>
              </w:rPr>
              <w:t xml:space="preserve">投入资源统计； </w:t>
            </w:r>
            <w:r>
              <w:rPr>
                <w:rFonts w:hint="eastAsia" w:cs="宋体" w:asciiTheme="minorEastAsia" w:hAnsiTheme="minorEastAsia" w:eastAsiaTheme="minorEastAsia"/>
                <w:sz w:val="20"/>
                <w:szCs w:val="20"/>
              </w:rPr>
              <w:t>内外部信息交流过程；内外部信息交流等过程及环境、职业健康安全管理体系运行过程；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项目部</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服务实现过程、服务的要求</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法规评价、重要环境因素和不可接受风险管理及措施落实、环境和安全检查</w:t>
            </w:r>
            <w:r>
              <w:rPr>
                <w:rFonts w:hint="eastAsia" w:cs="宋体" w:asciiTheme="minorEastAsia" w:hAnsiTheme="minorEastAsia" w:eastAsiaTheme="minorEastAsia"/>
                <w:kern w:val="2"/>
                <w:sz w:val="20"/>
                <w:szCs w:val="20"/>
                <w:lang w:val="en-US" w:eastAsia="zh-CN" w:bidi="ar-SA"/>
              </w:rPr>
              <w:t>环境因素、危险源辨识、风险评价和风险控制措施的确定、应急准备和响应及公司相应环境、职业健康安全管理体系运行过程控制；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业务部</w:t>
            </w:r>
          </w:p>
        </w:tc>
        <w:tc>
          <w:tcPr>
            <w:tcW w:w="6804" w:type="dxa"/>
          </w:tcPr>
          <w:p>
            <w:pPr>
              <w:jc w:val="left"/>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销售过程、客户满意、服务过程设计开发过程</w:t>
            </w:r>
            <w:r>
              <w:rPr>
                <w:rFonts w:hint="eastAsia" w:cs="宋体" w:asciiTheme="minorEastAsia" w:hAnsiTheme="minorEastAsia" w:eastAsiaTheme="minorEastAsia"/>
                <w:sz w:val="20"/>
                <w:szCs w:val="20"/>
              </w:rPr>
              <w:t>等过程及</w:t>
            </w:r>
            <w:r>
              <w:rPr>
                <w:rFonts w:hint="eastAsia" w:cs="宋体" w:asciiTheme="minorEastAsia" w:hAnsiTheme="minorEastAsia" w:eastAsiaTheme="minorEastAsia"/>
                <w:sz w:val="20"/>
                <w:szCs w:val="20"/>
                <w:lang w:val="en-US" w:eastAsia="zh-CN"/>
              </w:rPr>
              <w:t>部门</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采购部</w:t>
            </w:r>
          </w:p>
        </w:tc>
        <w:tc>
          <w:tcPr>
            <w:tcW w:w="6804" w:type="dxa"/>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采购过程供应商评价、采购实施</w:t>
            </w:r>
            <w:r>
              <w:rPr>
                <w:rFonts w:hint="eastAsia" w:cs="宋体" w:asciiTheme="minorEastAsia" w:hAnsiTheme="minorEastAsia" w:eastAsiaTheme="minorEastAsia"/>
                <w:sz w:val="20"/>
                <w:szCs w:val="20"/>
              </w:rPr>
              <w:t>等过程及</w:t>
            </w:r>
            <w:r>
              <w:rPr>
                <w:rFonts w:hint="eastAsia" w:cs="宋体" w:asciiTheme="minorEastAsia" w:hAnsiTheme="minorEastAsia" w:eastAsiaTheme="minorEastAsia"/>
                <w:sz w:val="20"/>
                <w:szCs w:val="20"/>
                <w:lang w:val="en-US" w:eastAsia="zh-CN"/>
              </w:rPr>
              <w:t>部门</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品质部</w:t>
            </w:r>
          </w:p>
        </w:tc>
        <w:tc>
          <w:tcPr>
            <w:tcW w:w="6804" w:type="dxa"/>
          </w:tcPr>
          <w:p>
            <w:pPr>
              <w:jc w:val="both"/>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服务过程质量控制、不合格服务改进</w:t>
            </w:r>
            <w:r>
              <w:rPr>
                <w:rFonts w:hint="eastAsia" w:cs="宋体" w:asciiTheme="minorEastAsia" w:hAnsiTheme="minorEastAsia" w:eastAsiaTheme="minorEastAsia"/>
                <w:sz w:val="20"/>
                <w:szCs w:val="20"/>
              </w:rPr>
              <w:t>等过程及</w:t>
            </w:r>
            <w:r>
              <w:rPr>
                <w:rFonts w:hint="eastAsia" w:cs="宋体" w:asciiTheme="minorEastAsia" w:hAnsiTheme="minorEastAsia" w:eastAsiaTheme="minorEastAsia"/>
                <w:sz w:val="20"/>
                <w:szCs w:val="20"/>
                <w:lang w:val="en-US" w:eastAsia="zh-CN"/>
              </w:rPr>
              <w:t>部门</w:t>
            </w:r>
            <w:r>
              <w:rPr>
                <w:rFonts w:hint="eastAsia" w:cs="宋体" w:asciiTheme="minorEastAsia" w:hAnsiTheme="minorEastAsia" w:eastAsiaTheme="minorEastAsia"/>
                <w:sz w:val="20"/>
                <w:szCs w:val="20"/>
              </w:rPr>
              <w:t>环境、职业健康安全管理体系运行过程；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Times New Roman" w:hAnsi="Times New Roman" w:eastAsia="宋体" w:cs="Times New Roman"/>
                <w:sz w:val="20"/>
              </w:rPr>
            </w:pPr>
            <w:r>
              <w:rPr>
                <w:rFonts w:hint="eastAsia" w:ascii="Times New Roman" w:hAnsi="Times New Roman" w:eastAsia="宋体" w:cs="Times New Roman"/>
                <w:sz w:val="20"/>
                <w:lang w:val="en-US" w:eastAsia="zh-CN"/>
              </w:rPr>
              <w:t>海望家园管理处</w:t>
            </w:r>
          </w:p>
        </w:tc>
        <w:tc>
          <w:tcPr>
            <w:tcW w:w="3249" w:type="dxa"/>
            <w:vAlign w:val="top"/>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物业管理</w:t>
            </w:r>
          </w:p>
        </w:tc>
        <w:tc>
          <w:tcPr>
            <w:tcW w:w="3555" w:type="dxa"/>
            <w:vAlign w:val="top"/>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头门港康居路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Times New Roman" w:hAnsi="Times New Roman" w:eastAsia="宋体" w:cs="Times New Roman"/>
                <w:sz w:val="20"/>
              </w:rPr>
            </w:pPr>
            <w:r>
              <w:rPr>
                <w:rFonts w:hint="eastAsia" w:ascii="Times New Roman" w:hAnsi="Times New Roman" w:eastAsia="宋体" w:cs="Times New Roman"/>
                <w:sz w:val="20"/>
                <w:lang w:val="en-US" w:eastAsia="zh-CN"/>
              </w:rPr>
              <w:t>南洋道路管理处</w:t>
            </w:r>
          </w:p>
        </w:tc>
        <w:tc>
          <w:tcPr>
            <w:tcW w:w="3249" w:type="dxa"/>
            <w:vAlign w:val="top"/>
          </w:tcPr>
          <w:p>
            <w:pPr>
              <w:rPr>
                <w:rFonts w:hint="default" w:ascii="Times New Roman" w:hAnsi="Times New Roman" w:eastAsia="宋体" w:cs="Times New Roman"/>
                <w:sz w:val="20"/>
                <w:lang w:val="en-US" w:eastAsia="zh-CN"/>
              </w:rPr>
            </w:pPr>
            <w:r>
              <w:rPr>
                <w:rFonts w:ascii="Times New Roman" w:hAnsi="Times New Roman" w:eastAsia="宋体" w:cs="Times New Roman"/>
                <w:sz w:val="20"/>
              </w:rPr>
              <w:t>城市生活垃圾清扫、收集、运输，河道保洁</w:t>
            </w:r>
          </w:p>
        </w:tc>
        <w:tc>
          <w:tcPr>
            <w:tcW w:w="3555" w:type="dxa"/>
            <w:vAlign w:val="top"/>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南洋八路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物业管理服务</w:t>
            </w:r>
          </w:p>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河道清洁</w:t>
            </w:r>
          </w:p>
        </w:tc>
        <w:tc>
          <w:tcPr>
            <w:tcW w:w="2519" w:type="dxa"/>
          </w:tcPr>
          <w:p>
            <w:pP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按合同要求提供服务</w:t>
            </w:r>
          </w:p>
        </w:tc>
        <w:tc>
          <w:tcPr>
            <w:tcW w:w="1843" w:type="dxa"/>
          </w:tcPr>
          <w:p>
            <w:pPr>
              <w:rPr>
                <w:rFonts w:ascii="Times New Roman" w:hAnsi="Times New Roman" w:eastAsia="宋体" w:cs="Times New Roman"/>
                <w:sz w:val="20"/>
              </w:rPr>
            </w:pPr>
          </w:p>
        </w:tc>
        <w:tc>
          <w:tcPr>
            <w:tcW w:w="3543" w:type="dxa"/>
          </w:tcPr>
          <w:p>
            <w:pPr>
              <w:rPr>
                <w:rFonts w:ascii="Times New Roman" w:hAnsi="Times New Roman" w:eastAsia="宋体" w:cs="Times New Roman"/>
                <w:sz w:val="20"/>
              </w:rPr>
            </w:pPr>
            <w:r>
              <w:rPr>
                <w:rFonts w:hint="eastAsia" w:ascii="Times New Roman" w:hAnsi="Times New Roman" w:eastAsia="宋体" w:cs="Times New Roman"/>
                <w:sz w:val="20"/>
                <w:lang w:val="en-US" w:eastAsia="zh-CN"/>
              </w:rPr>
              <w:t>物业管理条例、浙江省保安管理条例、</w:t>
            </w:r>
            <w:r>
              <w:rPr>
                <w:rFonts w:hint="eastAsia" w:ascii="Times New Roman" w:hAnsi="Times New Roman" w:eastAsia="宋体" w:cs="Times New Roman"/>
                <w:sz w:val="20"/>
              </w:rPr>
              <w:t>台州市物业管理条例</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rPr>
              <w:t>台州市物业管理条例</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rPr>
              <w:t>台州市物业管理规定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城市生活垃圾清扫、收集、运输</w:t>
            </w:r>
          </w:p>
        </w:tc>
        <w:tc>
          <w:tcPr>
            <w:tcW w:w="2519" w:type="dxa"/>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按合同要求提供服务</w:t>
            </w:r>
          </w:p>
        </w:tc>
        <w:tc>
          <w:tcPr>
            <w:tcW w:w="1843" w:type="dxa"/>
          </w:tcPr>
          <w:p>
            <w:pPr>
              <w:rPr>
                <w:rFonts w:ascii="Times New Roman" w:hAnsi="Times New Roman" w:eastAsia="宋体" w:cs="Times New Roman"/>
                <w:sz w:val="20"/>
              </w:rPr>
            </w:pPr>
          </w:p>
        </w:tc>
        <w:tc>
          <w:tcPr>
            <w:tcW w:w="3543" w:type="dxa"/>
          </w:tcPr>
          <w:p>
            <w:pPr>
              <w:rPr>
                <w:rFonts w:ascii="Times New Roman" w:hAnsi="Times New Roman" w:eastAsia="宋体" w:cs="Times New Roman"/>
                <w:sz w:val="20"/>
              </w:rPr>
            </w:pPr>
            <w:r>
              <w:rPr>
                <w:rFonts w:hint="eastAsia" w:ascii="Times New Roman" w:hAnsi="Times New Roman" w:eastAsia="宋体" w:cs="Times New Roman"/>
                <w:sz w:val="20"/>
              </w:rPr>
              <w:t>台州市城市市容和环境卫生管理条例</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rPr>
              <w:t xml:space="preserve">台州市固体废物污染环境防治管理办法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8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1077"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841"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2" w:firstLineChars="200"/>
              <w:rPr>
                <w:rFonts w:cs="宋体"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ind w:firstLine="400" w:firstLineChars="200"/>
              <w:rPr>
                <w:b/>
                <w:color w:val="000000" w:themeColor="text1"/>
                <w:sz w:val="20"/>
                <w:szCs w:val="20"/>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077"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8841"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4"/>
              <w:ind w:firstLine="402" w:firstLineChars="200"/>
              <w:jc w:val="left"/>
              <w:rPr>
                <w:rFonts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ind w:left="0" w:leftChars="0" w:firstLine="0" w:firstLineChars="0"/>
              <w:rPr>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1077"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8841"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cs="宋体" w:asciiTheme="minorEastAsia" w:hAnsiTheme="minorEastAsia" w:eastAsiaTheme="minorEastAsia"/>
                <w:sz w:val="20"/>
                <w:szCs w:val="20"/>
                <w:lang w:val="en-US" w:eastAsia="zh-CN"/>
              </w:rPr>
              <w:t>已制定质量环境职业健康安全方针，并在公司内部进行分解；</w:t>
            </w: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1077"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8841"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提供“风险与机遇评价与应对策划表”，按照服务</w:t>
            </w:r>
            <w:r>
              <w:rPr>
                <w:rFonts w:hint="eastAsia" w:cs="宋体" w:asciiTheme="minorEastAsia" w:hAnsiTheme="minorEastAsia" w:eastAsiaTheme="minorEastAsia"/>
                <w:sz w:val="20"/>
                <w:szCs w:val="20"/>
                <w:lang w:val="en-US" w:eastAsia="zh-CN"/>
              </w:rPr>
              <w:t>过程</w:t>
            </w:r>
            <w:r>
              <w:rPr>
                <w:rFonts w:hint="eastAsia" w:cs="宋体" w:asciiTheme="minorEastAsia" w:hAnsiTheme="minorEastAsia" w:eastAsiaTheme="minorEastAsia"/>
                <w:sz w:val="20"/>
                <w:szCs w:val="20"/>
              </w:rPr>
              <w:t>、采购、支持过程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Chars="0"/>
              <w:rPr>
                <w:rFonts w:hint="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077" w:type="dxa"/>
            <w:vMerge w:val="continue"/>
            <w:vAlign w:val="center"/>
          </w:tcPr>
          <w:p>
            <w:pPr>
              <w:spacing w:line="240" w:lineRule="exact"/>
              <w:jc w:val="center"/>
              <w:rPr>
                <w:b/>
                <w:color w:val="000000" w:themeColor="text1"/>
                <w:sz w:val="20"/>
              </w:rPr>
            </w:pPr>
          </w:p>
        </w:tc>
        <w:tc>
          <w:tcPr>
            <w:tcW w:w="8841"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三类服务范围的全过程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服务全过程。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1077" w:type="dxa"/>
            <w:vMerge w:val="continue"/>
            <w:vAlign w:val="center"/>
          </w:tcPr>
          <w:p>
            <w:pPr>
              <w:spacing w:line="240" w:lineRule="exact"/>
              <w:jc w:val="center"/>
              <w:rPr>
                <w:b/>
                <w:color w:val="000000" w:themeColor="text1"/>
                <w:sz w:val="20"/>
              </w:rPr>
            </w:pPr>
          </w:p>
        </w:tc>
        <w:tc>
          <w:tcPr>
            <w:tcW w:w="8841"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lang w:val="en-US" w:eastAsia="zh-CN"/>
              </w:rPr>
              <w:t>现场服务提供</w:t>
            </w:r>
            <w:r>
              <w:rPr>
                <w:rFonts w:hint="eastAsia" w:cs="宋体" w:asciiTheme="minorEastAsia" w:hAnsiTheme="minorEastAsia" w:eastAsiaTheme="minorEastAsia"/>
                <w:bCs/>
                <w:sz w:val="20"/>
                <w:szCs w:val="20"/>
              </w:rPr>
              <w:t>等过程及工作特点对涉及的环境因素进行了识别和辨识。</w:t>
            </w:r>
          </w:p>
          <w:p>
            <w:pPr>
              <w:spacing w:before="156" w:beforeLines="50"/>
              <w:ind w:firstLine="42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重要环境因素主要有：潜在火灾事故的发生</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固体危废弃物的排放，基本合理。</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1077" w:type="dxa"/>
            <w:vMerge w:val="continue"/>
            <w:vAlign w:val="center"/>
          </w:tcPr>
          <w:p>
            <w:pPr>
              <w:spacing w:line="240" w:lineRule="exact"/>
              <w:jc w:val="center"/>
              <w:rPr>
                <w:b/>
                <w:color w:val="000000" w:themeColor="text1"/>
                <w:sz w:val="20"/>
              </w:rPr>
            </w:pPr>
          </w:p>
        </w:tc>
        <w:tc>
          <w:tcPr>
            <w:tcW w:w="8841"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hint="eastAsia"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w:t>
            </w:r>
            <w:r>
              <w:rPr>
                <w:rFonts w:hint="eastAsia" w:cs="宋体" w:asciiTheme="minorEastAsia" w:hAnsiTheme="minorEastAsia" w:eastAsiaTheme="minorEastAsia"/>
                <w:bCs/>
                <w:sz w:val="20"/>
                <w:szCs w:val="20"/>
                <w:lang w:val="en-US" w:eastAsia="zh-CN"/>
              </w:rPr>
              <w:t>业务</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现场服务</w:t>
            </w:r>
            <w:r>
              <w:rPr>
                <w:rFonts w:hint="eastAsia" w:cs="宋体" w:asciiTheme="minorEastAsia" w:hAnsiTheme="minorEastAsia" w:eastAsiaTheme="minorEastAsia"/>
                <w:bCs/>
                <w:sz w:val="20"/>
                <w:szCs w:val="20"/>
              </w:rPr>
              <w:t>等过</w:t>
            </w:r>
            <w:r>
              <w:rPr>
                <w:rFonts w:hint="eastAsia" w:cs="宋体" w:asciiTheme="minorEastAsia" w:hAnsiTheme="minorEastAsia" w:eastAsiaTheme="minorEastAsia"/>
                <w:bCs/>
                <w:sz w:val="20"/>
                <w:szCs w:val="20"/>
                <w:lang w:val="en-US" w:eastAsia="zh-CN"/>
              </w:rPr>
              <w:t>程</w:t>
            </w:r>
            <w:r>
              <w:rPr>
                <w:rFonts w:hint="eastAsia" w:cs="宋体" w:asciiTheme="minorEastAsia" w:hAnsiTheme="minorEastAsia" w:eastAsiaTheme="minorEastAsia"/>
                <w:bCs/>
                <w:sz w:val="20"/>
                <w:szCs w:val="20"/>
              </w:rPr>
              <w:t>及工作特点对涉及的危险源进行了识别和辨识。</w:t>
            </w:r>
          </w:p>
          <w:p>
            <w:pPr>
              <w:spacing w:line="300" w:lineRule="exact"/>
              <w:rPr>
                <w:rFonts w:hint="eastAsia" w:ascii="宋体" w:hAnsi="宋体"/>
                <w:b/>
                <w:color w:val="000000" w:themeColor="text1"/>
                <w:spacing w:val="-8"/>
                <w:sz w:val="20"/>
                <w:szCs w:val="20"/>
              </w:rPr>
            </w:pPr>
            <w:r>
              <w:rPr>
                <w:rFonts w:hint="eastAsia" w:cs="宋体" w:asciiTheme="minorEastAsia" w:hAnsiTheme="minorEastAsia" w:eastAsiaTheme="minorEastAsia"/>
                <w:bCs/>
                <w:sz w:val="20"/>
                <w:szCs w:val="20"/>
              </w:rPr>
              <w:t>不可接受风险主要有：触电</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火灾</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机械伤害</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意外伤害</w:t>
            </w:r>
            <w:r>
              <w:rPr>
                <w:rFonts w:hint="eastAsia" w:cs="宋体" w:asciiTheme="minorEastAsia" w:hAnsiTheme="minorEastAsia" w:eastAsiaTheme="minorEastAsia"/>
                <w:bCs/>
                <w:sz w:val="20"/>
                <w:szCs w:val="20"/>
                <w:lang w:val="en-US" w:eastAsia="zh-CN"/>
              </w:rPr>
              <w:t>及传染病感染等</w:t>
            </w:r>
            <w:r>
              <w:rPr>
                <w:rFonts w:hint="eastAsia" w:cs="宋体" w:asciiTheme="minorEastAsia" w:hAnsiTheme="minorEastAsia" w:eastAsiaTheme="minorEastAsia"/>
                <w:bCs/>
                <w:sz w:val="20"/>
                <w:szCs w:val="20"/>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1077" w:type="dxa"/>
            <w:vMerge w:val="continue"/>
            <w:vAlign w:val="center"/>
          </w:tcPr>
          <w:p>
            <w:pPr>
              <w:spacing w:line="240" w:lineRule="exact"/>
              <w:jc w:val="center"/>
              <w:rPr>
                <w:b/>
                <w:color w:val="000000" w:themeColor="text1"/>
                <w:sz w:val="20"/>
              </w:rPr>
            </w:pPr>
          </w:p>
        </w:tc>
        <w:tc>
          <w:tcPr>
            <w:tcW w:w="8841"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spacing w:line="400" w:lineRule="exact"/>
              <w:ind w:firstLine="480"/>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1077" w:type="dxa"/>
            <w:vMerge w:val="continue"/>
            <w:vAlign w:val="center"/>
          </w:tcPr>
          <w:p>
            <w:pPr>
              <w:spacing w:line="240" w:lineRule="exact"/>
              <w:jc w:val="center"/>
              <w:rPr>
                <w:b/>
                <w:color w:val="000000" w:themeColor="text1"/>
                <w:sz w:val="20"/>
              </w:rPr>
            </w:pPr>
          </w:p>
        </w:tc>
        <w:tc>
          <w:tcPr>
            <w:tcW w:w="8841"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有公司级管理目标，并按照部门对目标进行分解，有目标管理管理规定，规定了目标的分解及考核的具体方法。目标与方针一致，符合公司总的质量、环境、职业健康安全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077" w:type="dxa"/>
            <w:vMerge w:val="continue"/>
            <w:vAlign w:val="center"/>
          </w:tcPr>
          <w:p>
            <w:pPr>
              <w:spacing w:line="240" w:lineRule="exact"/>
              <w:jc w:val="center"/>
              <w:rPr>
                <w:b/>
                <w:color w:val="000000" w:themeColor="text1"/>
                <w:sz w:val="20"/>
              </w:rPr>
            </w:pPr>
          </w:p>
        </w:tc>
        <w:tc>
          <w:tcPr>
            <w:tcW w:w="8841"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   实施时间2020.6.1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3.管理制度手册</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包括管理制度、作业指导书等。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以上外来文件保管良好，有与服务内容相关的外部法规条例未列入外来文件，未提供发放记录，开具不符合项。</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077"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841"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上岗前经过岗前培训，服业经理、电工、运输车辆驾驶员等工作人员均经过专业培训，取得相关证书。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360" w:firstLineChars="200"/>
              <w:rPr>
                <w:rFonts w:ascii="宋体" w:hAnsi="宋体"/>
                <w:b/>
                <w:color w:val="000000" w:themeColor="text1"/>
                <w:sz w:val="20"/>
                <w:szCs w:val="20"/>
              </w:rPr>
            </w:pPr>
            <w:r>
              <w:rPr>
                <w:rFonts w:hint="eastAsia" w:ascii="宋体" w:hAnsi="宋体"/>
                <w:color w:val="000000"/>
                <w:spacing w:val="-10"/>
                <w:sz w:val="20"/>
                <w:szCs w:val="20"/>
                <w:lang w:val="en-US" w:eastAsia="zh-CN"/>
              </w:rPr>
              <w:t xml:space="preserve">清运车辆、清扫物业等物业作业必备消耗设备、电工作业橡胶绝缘鞋等；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9"/>
              <w:rPr>
                <w:rFonts w:hint="eastAsia" w:cs="Times New Roman" w:asciiTheme="minorEastAsia" w:hAnsiTheme="minorEastAsia" w:eastAsiaTheme="minorEastAsia"/>
                <w:color w:val="000000"/>
                <w:kern w:val="2"/>
                <w:sz w:val="20"/>
                <w:szCs w:val="20"/>
                <w:lang w:val="en-US" w:eastAsia="zh-CN" w:bidi="ar-SA"/>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现场观察办公区环境卫生管理，工作场所布局合理，温湿度适宜，照明良好，满足办公和服务需。</w:t>
            </w:r>
          </w:p>
          <w:p>
            <w:pPr>
              <w:pStyle w:val="9"/>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公司定期举行团队活动，已缓解员工的心理压力、过度疲劳等。</w:t>
            </w:r>
          </w:p>
          <w:p>
            <w:pPr>
              <w:pStyle w:val="9"/>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公司现场观察，公司办公场所和生产场所均环境良好，满足办公需要，无特殊环境要求。</w:t>
            </w:r>
          </w:p>
          <w:p>
            <w:pPr>
              <w:spacing w:line="240" w:lineRule="exact"/>
              <w:rPr>
                <w:rFonts w:hint="default" w:ascii="宋体" w:hAnsi="宋体"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ascii="宋体"/>
                <w:color w:val="000000"/>
                <w:sz w:val="20"/>
                <w:szCs w:val="20"/>
                <w:lang w:val="en-US" w:eastAsia="zh-CN"/>
              </w:rPr>
              <w:t>钢卷尺、万用表；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的有：公司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办公过程有通风、绿化、垃圾分类等。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办公过程配有</w:t>
            </w:r>
            <w:r>
              <w:rPr>
                <w:rFonts w:hint="eastAsia" w:asciiTheme="minorEastAsia" w:hAnsiTheme="minorEastAsia" w:eastAsiaTheme="minorEastAsia"/>
                <w:color w:val="000000"/>
                <w:sz w:val="20"/>
                <w:szCs w:val="20"/>
              </w:rPr>
              <w:t>消防器材、标识牌等。</w:t>
            </w:r>
            <w:r>
              <w:rPr>
                <w:rFonts w:hint="eastAsia" w:asciiTheme="minorEastAsia" w:hAnsiTheme="minorEastAsia" w:eastAsiaTheme="minorEastAsia"/>
                <w:color w:val="000000"/>
                <w:sz w:val="20"/>
                <w:szCs w:val="20"/>
                <w:lang w:val="en-US" w:eastAsia="zh-CN"/>
              </w:rPr>
              <w:t>对现场服务人员发放</w:t>
            </w:r>
            <w:r>
              <w:rPr>
                <w:rFonts w:hint="eastAsia" w:asciiTheme="minorEastAsia" w:hAnsiTheme="minorEastAsia" w:eastAsiaTheme="minorEastAsia"/>
                <w:color w:val="000000"/>
                <w:sz w:val="20"/>
                <w:szCs w:val="20"/>
              </w:rPr>
              <w:t>劳保用品</w:t>
            </w:r>
            <w:r>
              <w:rPr>
                <w:rFonts w:hint="eastAsia" w:asciiTheme="minorEastAsia" w:hAnsiTheme="minorEastAsia" w:eastAsiaTheme="minor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1077"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8841"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200" w:firstLineChars="100"/>
              <w:rPr>
                <w:rFonts w:hint="eastAsia"/>
                <w:b/>
                <w:color w:val="000000" w:themeColor="text1"/>
                <w:sz w:val="20"/>
                <w:szCs w:val="20"/>
              </w:rPr>
            </w:pPr>
            <w:r>
              <w:rPr>
                <w:rFonts w:hint="eastAsia" w:asciiTheme="minorEastAsia" w:hAnsiTheme="minorEastAsia" w:eastAsiaTheme="minorEastAsia"/>
                <w:color w:val="000000"/>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077" w:type="dxa"/>
            <w:vMerge w:val="continue"/>
            <w:vAlign w:val="center"/>
          </w:tcPr>
          <w:p>
            <w:pPr>
              <w:spacing w:line="240" w:lineRule="exact"/>
              <w:jc w:val="center"/>
              <w:rPr>
                <w:b/>
                <w:color w:val="000000" w:themeColor="text1"/>
                <w:szCs w:val="21"/>
              </w:rPr>
            </w:pPr>
          </w:p>
        </w:tc>
        <w:tc>
          <w:tcPr>
            <w:tcW w:w="8841"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w:t>
            </w:r>
            <w:r>
              <w:rPr>
                <w:rFonts w:hint="eastAsia" w:asciiTheme="minorEastAsia" w:hAnsiTheme="minorEastAsia" w:eastAsiaTheme="minorEastAsia"/>
                <w:color w:val="000000"/>
                <w:sz w:val="20"/>
                <w:szCs w:val="20"/>
                <w:lang w:val="en-US" w:eastAsia="zh-CN"/>
              </w:rPr>
              <w:t>和</w:t>
            </w:r>
            <w:r>
              <w:rPr>
                <w:rFonts w:hint="eastAsia" w:asciiTheme="minorEastAsia" w:hAnsiTheme="minorEastAsia" w:eastAsiaTheme="minorEastAsia"/>
                <w:color w:val="000000"/>
                <w:sz w:val="20"/>
                <w:szCs w:val="20"/>
              </w:rPr>
              <w:t>管理者代表负责在公司建立畅通的沟通渠道。</w:t>
            </w:r>
            <w:r>
              <w:rPr>
                <w:rFonts w:hint="eastAsia" w:asciiTheme="minorEastAsia" w:hAnsiTheme="minorEastAsia" w:eastAsiaTheme="minorEastAsia"/>
                <w:color w:val="000000"/>
                <w:sz w:val="20"/>
                <w:szCs w:val="20"/>
                <w:lang w:val="en-US" w:eastAsia="zh-CN"/>
              </w:rPr>
              <w:t>综合</w:t>
            </w:r>
            <w:r>
              <w:rPr>
                <w:rFonts w:hint="eastAsia" w:asciiTheme="minorEastAsia" w:hAnsiTheme="minorEastAsia" w:eastAsiaTheme="minorEastAsia"/>
                <w:color w:val="000000"/>
                <w:sz w:val="20"/>
                <w:szCs w:val="20"/>
              </w:rPr>
              <w:t>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w:t>
            </w:r>
            <w:r>
              <w:rPr>
                <w:rFonts w:hint="eastAsia" w:asciiTheme="minorEastAsia" w:hAnsiTheme="minorEastAsia" w:eastAsiaTheme="minorEastAsia"/>
                <w:color w:val="000000"/>
                <w:sz w:val="20"/>
                <w:szCs w:val="20"/>
                <w:lang w:val="en-US" w:eastAsia="zh-CN"/>
              </w:rPr>
              <w:t>业务</w:t>
            </w:r>
            <w:r>
              <w:rPr>
                <w:rFonts w:hint="eastAsia" w:asciiTheme="minorEastAsia" w:hAnsiTheme="minorEastAsia" w:eastAsiaTheme="minorEastAsia"/>
                <w:color w:val="000000"/>
                <w:sz w:val="20"/>
                <w:szCs w:val="20"/>
              </w:rPr>
              <w:t>部负责顾客要求方面的有关事宜的沟通。</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w:t>
            </w:r>
            <w:r>
              <w:rPr>
                <w:rFonts w:hint="eastAsia" w:asciiTheme="minorEastAsia" w:hAnsiTheme="minorEastAsia" w:eastAsiaTheme="minorEastAsia"/>
                <w:color w:val="000000"/>
                <w:sz w:val="20"/>
                <w:szCs w:val="20"/>
                <w:lang w:val="en-US" w:eastAsia="zh-CN"/>
              </w:rPr>
              <w:t>徐美翠</w:t>
            </w:r>
            <w:r>
              <w:rPr>
                <w:rFonts w:hint="eastAsia" w:asciiTheme="minorEastAsia" w:hAnsiTheme="minorEastAsia" w:eastAsiaTheme="minorEastAsia"/>
                <w:color w:val="000000"/>
                <w:sz w:val="20"/>
                <w:szCs w:val="20"/>
              </w:rPr>
              <w:t>为公司安全事务代表。经与</w:t>
            </w:r>
            <w:r>
              <w:rPr>
                <w:rFonts w:hint="eastAsia" w:asciiTheme="minorEastAsia" w:hAnsiTheme="minorEastAsia" w:eastAsiaTheme="minorEastAsia"/>
                <w:color w:val="000000"/>
                <w:sz w:val="20"/>
                <w:szCs w:val="20"/>
                <w:lang w:val="en-US" w:eastAsia="zh-CN"/>
              </w:rPr>
              <w:t>徐美翠</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077" w:type="dxa"/>
            <w:vMerge w:val="continue"/>
            <w:vAlign w:val="center"/>
          </w:tcPr>
          <w:p>
            <w:pPr>
              <w:spacing w:line="240" w:lineRule="exact"/>
              <w:jc w:val="center"/>
              <w:rPr>
                <w:b/>
                <w:color w:val="000000" w:themeColor="text1"/>
                <w:szCs w:val="21"/>
              </w:rPr>
            </w:pPr>
          </w:p>
        </w:tc>
        <w:tc>
          <w:tcPr>
            <w:tcW w:w="8841"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heme="minorEastAsia" w:hAnsiTheme="minorEastAsia" w:eastAsiaTheme="minorEastAsia"/>
                <w:color w:val="000000"/>
                <w:sz w:val="20"/>
                <w:szCs w:val="20"/>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rPr>
              <w:t>公司依据客户</w:t>
            </w:r>
            <w:r>
              <w:rPr>
                <w:rFonts w:hint="eastAsia" w:asciiTheme="minorEastAsia" w:hAnsiTheme="minorEastAsia" w:eastAsiaTheme="minorEastAsia"/>
                <w:color w:val="000000"/>
                <w:sz w:val="20"/>
                <w:szCs w:val="20"/>
                <w:lang w:val="en-US" w:eastAsia="zh-CN"/>
              </w:rPr>
              <w:t>签订的合同和公司提供的服务方案</w:t>
            </w:r>
            <w:r>
              <w:rPr>
                <w:rFonts w:hint="eastAsia" w:asciiTheme="minorEastAsia" w:hAnsiTheme="minorEastAsia" w:eastAsiaTheme="minorEastAsia"/>
                <w:color w:val="000000"/>
                <w:sz w:val="20"/>
                <w:szCs w:val="20"/>
              </w:rPr>
              <w:t>，下达</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计划，</w:t>
            </w:r>
            <w:r>
              <w:rPr>
                <w:rFonts w:hint="eastAsia" w:asciiTheme="minorEastAsia" w:hAnsiTheme="minorEastAsia" w:eastAsiaTheme="minorEastAsia"/>
                <w:color w:val="000000"/>
                <w:sz w:val="20"/>
                <w:szCs w:val="20"/>
                <w:lang w:val="en-US" w:eastAsia="zh-CN"/>
              </w:rPr>
              <w:t>配置服务人员</w:t>
            </w:r>
            <w:r>
              <w:rPr>
                <w:rFonts w:hint="eastAsia" w:asciiTheme="minorEastAsia" w:hAnsiTheme="minorEastAsia" w:eastAsiaTheme="minorEastAsia"/>
                <w:color w:val="000000"/>
                <w:sz w:val="20"/>
                <w:szCs w:val="20"/>
              </w:rPr>
              <w:t>，进行</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、质量及管理工作协调。</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客户协议要求，进行工作量分析，给出人员安排、服务消耗材料安排、验收安排</w:t>
            </w:r>
            <w:r>
              <w:rPr>
                <w:rFonts w:hint="eastAsia" w:asciiTheme="minorEastAsia" w:hAnsiTheme="minorEastAsia" w:eastAsiaTheme="minorEastAsia"/>
                <w:color w:val="000000"/>
                <w:sz w:val="20"/>
                <w:szCs w:val="20"/>
              </w:rPr>
              <w:t>过程对</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进度等进行监控。</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为生产过程提供了适宜的设备及环境，配备了胜任的人员。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检验规程、作业指导书、原料进货检验规程等文件对产</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和检验过程实施了过程控制。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 xml:space="preserve">    并对服务项目建立工作档案， 有协议、项目信息、服务过程记录、服务验收记录、顾客验收确认记录等信息。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077" w:type="dxa"/>
            <w:vMerge w:val="continue"/>
            <w:vAlign w:val="center"/>
          </w:tcPr>
          <w:p>
            <w:pPr>
              <w:spacing w:line="240" w:lineRule="exact"/>
              <w:jc w:val="center"/>
              <w:rPr>
                <w:b/>
                <w:color w:val="000000" w:themeColor="text1"/>
                <w:szCs w:val="21"/>
              </w:rPr>
            </w:pPr>
          </w:p>
        </w:tc>
        <w:tc>
          <w:tcPr>
            <w:tcW w:w="8841"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提供</w:t>
            </w:r>
            <w:r>
              <w:rPr>
                <w:rFonts w:hint="eastAsia" w:asciiTheme="minorEastAsia" w:hAnsiTheme="minorEastAsia" w:eastAsiaTheme="minorEastAsia"/>
                <w:color w:val="000000"/>
                <w:sz w:val="20"/>
                <w:szCs w:val="20"/>
                <w:lang w:val="en-US" w:eastAsia="zh-CN"/>
              </w:rPr>
              <w:t>客户档案，见客户验收</w:t>
            </w:r>
            <w:r>
              <w:rPr>
                <w:rFonts w:hint="eastAsia" w:asciiTheme="minorEastAsia" w:hAnsiTheme="minorEastAsia" w:eastAsiaTheme="minorEastAsia"/>
                <w:color w:val="000000"/>
                <w:sz w:val="20"/>
                <w:szCs w:val="20"/>
                <w:lang w:val="zh-CN" w:eastAsia="zh-CN"/>
              </w:rPr>
              <w:t>合格</w:t>
            </w:r>
            <w:r>
              <w:rPr>
                <w:rFonts w:hint="eastAsia" w:asciiTheme="minorEastAsia" w:hAnsiTheme="minorEastAsia" w:eastAsiaTheme="minorEastAsia"/>
                <w:color w:val="000000"/>
                <w:sz w:val="20"/>
                <w:szCs w:val="20"/>
                <w:lang w:val="en-US" w:eastAsia="zh-CN"/>
              </w:rPr>
              <w:t>信息</w:t>
            </w:r>
            <w:r>
              <w:rPr>
                <w:rFonts w:hint="eastAsia" w:asciiTheme="minorEastAsia" w:hAnsiTheme="minorEastAsia" w:eastAsiaTheme="minorEastAsia"/>
                <w:color w:val="000000"/>
                <w:sz w:val="20"/>
                <w:szCs w:val="20"/>
                <w:lang w:val="zh-CN" w:eastAsia="zh-CN"/>
              </w:rPr>
              <w:t>。</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w:t>
            </w:r>
            <w:r>
              <w:rPr>
                <w:rFonts w:hint="eastAsia" w:asciiTheme="minorEastAsia" w:hAnsiTheme="minorEastAsia" w:eastAsiaTheme="minorEastAsia"/>
                <w:color w:val="000000"/>
                <w:sz w:val="20"/>
                <w:szCs w:val="20"/>
                <w:lang w:val="en-US" w:eastAsia="zh-CN"/>
              </w:rPr>
              <w:t xml:space="preserve"> 97 </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077" w:type="dxa"/>
            <w:vMerge w:val="continue"/>
            <w:vAlign w:val="center"/>
          </w:tcPr>
          <w:p>
            <w:pPr>
              <w:spacing w:line="240" w:lineRule="exact"/>
              <w:jc w:val="center"/>
              <w:rPr>
                <w:b/>
                <w:color w:val="000000" w:themeColor="text1"/>
                <w:szCs w:val="21"/>
              </w:rPr>
            </w:pPr>
          </w:p>
        </w:tc>
        <w:tc>
          <w:tcPr>
            <w:tcW w:w="8841"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077" w:type="dxa"/>
            <w:vMerge w:val="continue"/>
            <w:vAlign w:val="center"/>
          </w:tcPr>
          <w:p>
            <w:pPr>
              <w:spacing w:line="240" w:lineRule="exact"/>
              <w:jc w:val="center"/>
              <w:rPr>
                <w:b/>
                <w:color w:val="000000" w:themeColor="text1"/>
                <w:szCs w:val="21"/>
              </w:rPr>
            </w:pPr>
          </w:p>
        </w:tc>
        <w:tc>
          <w:tcPr>
            <w:tcW w:w="8841"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1077" w:type="dxa"/>
            <w:vMerge w:val="continue"/>
            <w:vAlign w:val="center"/>
          </w:tcPr>
          <w:p>
            <w:pPr>
              <w:spacing w:line="240" w:lineRule="exact"/>
              <w:jc w:val="center"/>
              <w:rPr>
                <w:b/>
                <w:color w:val="000000" w:themeColor="text1"/>
                <w:szCs w:val="21"/>
              </w:rPr>
            </w:pPr>
          </w:p>
        </w:tc>
        <w:tc>
          <w:tcPr>
            <w:tcW w:w="8841"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涉及到的重要环境因素主要是：固废排放、火灾等。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1、废水管控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办公过程产生的生活废水排入大楼物业管网。</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2、固废管控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生活垃圾，办公室有垃圾篓集中倒入垃圾站，公司项目部负责整个园区的清运处置。</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3、能源资源管控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生产过程注意节水、节电、节原材料，人走关闭设备和照明开关，现场未发现有漏水和浪费电能的现象。</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4、潜在火灾管控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公司办公室现场配有灭火器和应急预案。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077" w:type="dxa"/>
            <w:vMerge w:val="continue"/>
            <w:vAlign w:val="center"/>
          </w:tcPr>
          <w:p>
            <w:pPr>
              <w:spacing w:line="240" w:lineRule="exact"/>
              <w:jc w:val="center"/>
              <w:rPr>
                <w:b/>
                <w:color w:val="000000" w:themeColor="text1"/>
                <w:szCs w:val="21"/>
              </w:rPr>
            </w:pPr>
          </w:p>
        </w:tc>
        <w:tc>
          <w:tcPr>
            <w:tcW w:w="8841" w:type="dxa"/>
            <w:vAlign w:val="top"/>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涉及到的重大危险源主要是：火灾、触电、噪声、化学伤害、人员伤害等。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1、潜在火灾管控：</w:t>
            </w:r>
          </w:p>
          <w:p>
            <w:pPr>
              <w:spacing w:line="240" w:lineRule="exact"/>
              <w:ind w:firstLine="400" w:firstLine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业办公楼配备了消防栓和灭火器，状态有效，公司办公室办公区域和供水站内配置灭火器，维护保养的道路设有消防栓。</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2、触电安全防护：</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现场电线布线合理，漏电保护器状态良好。</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3、为主要长期员工上社保、工伤保险，安排健康体检，疫情期间进出公司人员进行温度登记，查看健康码，公司给员工发放口罩等劳保用品，不允许私拉乱扔。</w:t>
            </w:r>
          </w:p>
          <w:p>
            <w:pPr>
              <w:numPr>
                <w:ilvl w:val="0"/>
                <w:numId w:val="0"/>
              </w:numPr>
              <w:spacing w:line="240" w:lineRule="exact"/>
              <w:ind w:left="0" w:leftChars="0" w:firstLine="0" w:firstLine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1077" w:type="dxa"/>
            <w:vMerge w:val="continue"/>
            <w:vAlign w:val="center"/>
          </w:tcPr>
          <w:p>
            <w:pPr>
              <w:spacing w:line="240" w:lineRule="exact"/>
              <w:jc w:val="center"/>
              <w:rPr>
                <w:b/>
                <w:color w:val="000000" w:themeColor="text1"/>
                <w:szCs w:val="21"/>
              </w:rPr>
            </w:pPr>
          </w:p>
        </w:tc>
        <w:tc>
          <w:tcPr>
            <w:tcW w:w="8841"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leftChars="200"/>
              <w:jc w:val="left"/>
              <w:rPr>
                <w:rFonts w:hint="default"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策划了应急预案包括触电、火灾、中暑、台风等多类应急预案。预案与公司所处的地理环境相匹配。</w:t>
            </w:r>
          </w:p>
          <w:p>
            <w:pPr>
              <w:spacing w:line="240" w:lineRule="exact"/>
              <w:ind w:leftChars="200"/>
              <w:jc w:val="lef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公司进行了消防灭火和触电演练，查应急演练记录。</w:t>
            </w:r>
          </w:p>
          <w:p>
            <w:pPr>
              <w:spacing w:line="240" w:lineRule="exact"/>
              <w:ind w:leftChars="200"/>
              <w:jc w:val="lef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查消防灭火演练，演练时间2020年9月20日，地点：物业项目部，对演练过程进行了描述，并对预案的有效性进行了评价。</w:t>
            </w:r>
          </w:p>
          <w:p>
            <w:pPr>
              <w:spacing w:line="240" w:lineRule="exact"/>
              <w:ind w:leftChars="200"/>
              <w:jc w:val="lef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查到医疗急救应急演练，演练时间：2020年9月20日，地点：物业项目部； 对演练过程进行了描述，并对预案的有效性进行了评价。</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077" w:type="dxa"/>
            <w:vMerge w:val="continue"/>
            <w:vAlign w:val="center"/>
          </w:tcPr>
          <w:p>
            <w:pPr>
              <w:spacing w:line="240" w:lineRule="exact"/>
              <w:jc w:val="center"/>
              <w:rPr>
                <w:b/>
                <w:color w:val="000000" w:themeColor="text1"/>
                <w:szCs w:val="21"/>
              </w:rPr>
            </w:pPr>
          </w:p>
        </w:tc>
        <w:tc>
          <w:tcPr>
            <w:tcW w:w="8841"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1077" w:type="dxa"/>
            <w:vMerge w:val="continue"/>
            <w:vAlign w:val="center"/>
          </w:tcPr>
          <w:p>
            <w:pPr>
              <w:spacing w:line="240" w:lineRule="exact"/>
              <w:jc w:val="center"/>
              <w:rPr>
                <w:b/>
                <w:color w:val="000000" w:themeColor="text1"/>
                <w:szCs w:val="21"/>
              </w:rPr>
            </w:pPr>
          </w:p>
        </w:tc>
        <w:tc>
          <w:tcPr>
            <w:tcW w:w="8841" w:type="dxa"/>
          </w:tcPr>
          <w:p>
            <w:pPr>
              <w:spacing w:line="240" w:lineRule="exact"/>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rPr>
              <w:t>11 .对危险化学品销售、使用、储存、运输处置，规定的执行力度(必要时);</w:t>
            </w:r>
            <w:r>
              <w:rPr>
                <w:rFonts w:hint="eastAsia" w:ascii="Times New Roman" w:hAnsi="Times New Roman" w:eastAsia="宋体" w:cs="Times New Roman"/>
                <w:b/>
                <w:color w:val="000000" w:themeColor="text1"/>
                <w:sz w:val="20"/>
                <w:szCs w:val="20"/>
                <w:lang w:val="en-US" w:eastAsia="zh-CN"/>
              </w:rPr>
              <w:t xml:space="preserve">    </w:t>
            </w:r>
          </w:p>
          <w:p>
            <w:pPr>
              <w:pStyle w:val="2"/>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1077"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8841"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1077" w:type="dxa"/>
            <w:vMerge w:val="continue"/>
            <w:textDirection w:val="tbRlV"/>
            <w:vAlign w:val="center"/>
          </w:tcPr>
          <w:p>
            <w:pPr>
              <w:spacing w:line="240" w:lineRule="exact"/>
              <w:ind w:left="113" w:right="113"/>
              <w:jc w:val="center"/>
              <w:rPr>
                <w:b/>
                <w:color w:val="000000" w:themeColor="text1"/>
                <w:szCs w:val="21"/>
              </w:rPr>
            </w:pPr>
          </w:p>
        </w:tc>
        <w:tc>
          <w:tcPr>
            <w:tcW w:w="8841" w:type="dxa"/>
            <w:vAlign w:val="top"/>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w:t>
            </w:r>
            <w:r>
              <w:rPr>
                <w:rFonts w:hint="eastAsia" w:asciiTheme="minorEastAsia" w:hAnsiTheme="minorEastAsia" w:eastAsiaTheme="minorEastAsia"/>
                <w:szCs w:val="21"/>
                <w:lang w:val="en-US" w:eastAsia="zh-CN"/>
              </w:rPr>
              <w:t>和统计表</w:t>
            </w:r>
            <w:r>
              <w:rPr>
                <w:rFonts w:hint="eastAsia" w:asciiTheme="minorEastAsia" w:hAnsiTheme="minorEastAsia" w:eastAsiaTheme="minorEastAsia"/>
                <w:szCs w:val="21"/>
                <w:lang w:val="zh-CN"/>
              </w:rPr>
              <w:t>，顾客较满意</w:t>
            </w:r>
            <w:r>
              <w:rPr>
                <w:rFonts w:hint="eastAsia" w:asciiTheme="minorEastAsia" w:hAnsiTheme="minorEastAsia" w:eastAsiaTheme="minorEastAsia"/>
                <w:szCs w:val="21"/>
                <w:lang w:val="en-US" w:eastAsia="zh-CN"/>
              </w:rPr>
              <w:t>达97%</w:t>
            </w:r>
            <w:r>
              <w:rPr>
                <w:rFonts w:hint="eastAsia" w:asciiTheme="minorEastAsia" w:hAnsiTheme="minorEastAsia" w:eastAsiaTheme="minorEastAsia"/>
                <w:szCs w:val="21"/>
                <w:lang w:val="zh-CN"/>
              </w:rPr>
              <w:t>。</w:t>
            </w:r>
          </w:p>
          <w:p>
            <w:pPr>
              <w:numPr>
                <w:ilvl w:val="0"/>
                <w:numId w:val="0"/>
              </w:numPr>
              <w:spacing w:line="240" w:lineRule="exact"/>
              <w:ind w:left="-105" w:leftChars="-50" w:firstLine="0" w:firstLine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1077" w:type="dxa"/>
            <w:vMerge w:val="continue"/>
            <w:textDirection w:val="tbRlV"/>
            <w:vAlign w:val="center"/>
          </w:tcPr>
          <w:p>
            <w:pPr>
              <w:spacing w:line="240" w:lineRule="exact"/>
              <w:ind w:left="201" w:right="113" w:hanging="201" w:hangingChars="100"/>
              <w:jc w:val="center"/>
              <w:rPr>
                <w:b/>
                <w:color w:val="000000" w:themeColor="text1"/>
                <w:sz w:val="20"/>
              </w:rPr>
            </w:pPr>
          </w:p>
        </w:tc>
        <w:tc>
          <w:tcPr>
            <w:tcW w:w="8841"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80" w:lineRule="exact"/>
              <w:ind w:firstLine="420" w:firstLineChars="200"/>
              <w:rPr>
                <w:szCs w:val="21"/>
              </w:rPr>
            </w:pPr>
            <w:r>
              <w:rPr>
                <w:rFonts w:hint="eastAsia"/>
                <w:szCs w:val="21"/>
              </w:rPr>
              <w:t>编制了《内部审核程序》，由管代定期组织每年进行一次内审，间隔不超过12月份，全体内审员参加。</w:t>
            </w:r>
          </w:p>
          <w:p>
            <w:pPr>
              <w:spacing w:line="280" w:lineRule="exact"/>
              <w:ind w:firstLine="420" w:firstLineChars="200"/>
              <w:rPr>
                <w:szCs w:val="21"/>
              </w:rPr>
            </w:pPr>
            <w:r>
              <w:rPr>
                <w:rFonts w:hint="eastAsia"/>
                <w:szCs w:val="21"/>
              </w:rPr>
              <w:t>依据GB/T19001-2016、GB/T24001-2016、GB/T45001-2020质量/环境/职业健康安全管理体系要求、公司管理体系文件、法律法规和业主的要求。</w:t>
            </w:r>
          </w:p>
          <w:p>
            <w:pPr>
              <w:spacing w:line="280" w:lineRule="exact"/>
              <w:ind w:firstLine="420" w:firstLineChars="200"/>
              <w:rPr>
                <w:szCs w:val="21"/>
              </w:rPr>
            </w:pPr>
            <w:r>
              <w:rPr>
                <w:rFonts w:hint="eastAsia"/>
                <w:szCs w:val="21"/>
              </w:rPr>
              <w:t>提供2020年度《内部审核计划》，内审安排1次。明确审核目的、范围、依据、日期（2020.</w:t>
            </w:r>
            <w:r>
              <w:rPr>
                <w:szCs w:val="21"/>
              </w:rPr>
              <w:t>11</w:t>
            </w:r>
            <w:r>
              <w:rPr>
                <w:rFonts w:hint="eastAsia"/>
                <w:szCs w:val="21"/>
              </w:rPr>
              <w:t>），编制:黄军燕  审批：严剑江；2020-</w:t>
            </w:r>
            <w:r>
              <w:rPr>
                <w:szCs w:val="21"/>
              </w:rPr>
              <w:t>11</w:t>
            </w:r>
            <w:r>
              <w:rPr>
                <w:rFonts w:hint="eastAsia"/>
                <w:szCs w:val="21"/>
              </w:rPr>
              <w:t>-</w:t>
            </w:r>
            <w:r>
              <w:rPr>
                <w:szCs w:val="21"/>
              </w:rPr>
              <w:t>20</w:t>
            </w:r>
            <w:r>
              <w:rPr>
                <w:rFonts w:hint="eastAsia"/>
                <w:szCs w:val="21"/>
              </w:rPr>
              <w:t>。</w:t>
            </w:r>
          </w:p>
          <w:p>
            <w:pPr>
              <w:spacing w:line="280" w:lineRule="exact"/>
              <w:ind w:firstLine="420" w:firstLineChars="200"/>
              <w:rPr>
                <w:szCs w:val="21"/>
              </w:rPr>
            </w:pPr>
            <w:r>
              <w:rPr>
                <w:rFonts w:hint="eastAsia"/>
                <w:szCs w:val="21"/>
              </w:rPr>
              <w:t>提供QEO《审核实施计划》；内部审核计划日程安排：20</w:t>
            </w:r>
            <w:r>
              <w:rPr>
                <w:szCs w:val="21"/>
              </w:rPr>
              <w:t>20</w:t>
            </w:r>
            <w:r>
              <w:rPr>
                <w:rFonts w:hint="eastAsia"/>
                <w:szCs w:val="21"/>
              </w:rPr>
              <w:t>-</w:t>
            </w:r>
            <w:r>
              <w:rPr>
                <w:szCs w:val="21"/>
              </w:rPr>
              <w:t>11</w:t>
            </w:r>
            <w:r>
              <w:rPr>
                <w:rFonts w:hint="eastAsia"/>
                <w:szCs w:val="21"/>
              </w:rPr>
              <w:t>-</w:t>
            </w:r>
            <w:r>
              <w:rPr>
                <w:szCs w:val="21"/>
              </w:rPr>
              <w:t>26</w:t>
            </w:r>
            <w:r>
              <w:rPr>
                <w:rFonts w:hint="eastAsia"/>
                <w:szCs w:val="21"/>
              </w:rPr>
              <w:t>~</w:t>
            </w:r>
            <w:r>
              <w:rPr>
                <w:szCs w:val="21"/>
              </w:rPr>
              <w:t>27</w:t>
            </w:r>
            <w:r>
              <w:rPr>
                <w:rFonts w:hint="eastAsia"/>
                <w:szCs w:val="21"/>
              </w:rPr>
              <w:t>，组长：黄军燕，组员：周丹娟，有培训记录；</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计划内容涉及各部门，条款覆盖整个体系，时间安排合理。同时考虑到互查的公正性。实际审核：2020.</w:t>
            </w:r>
            <w:r>
              <w:rPr>
                <w:szCs w:val="21"/>
              </w:rPr>
              <w:t>11.26</w:t>
            </w:r>
            <w:r>
              <w:rPr>
                <w:rFonts w:hint="eastAsia"/>
                <w:szCs w:val="21"/>
              </w:rPr>
              <w:t>-2020.</w:t>
            </w:r>
            <w:r>
              <w:rPr>
                <w:szCs w:val="21"/>
              </w:rPr>
              <w:t>11.27</w:t>
            </w:r>
            <w:r>
              <w:rPr>
                <w:rFonts w:hint="eastAsia"/>
                <w:szCs w:val="21"/>
              </w:rPr>
              <w:t>，有签到表。</w:t>
            </w:r>
          </w:p>
          <w:p>
            <w:pPr>
              <w:spacing w:line="280" w:lineRule="exact"/>
              <w:ind w:firstLine="420" w:firstLineChars="200"/>
              <w:rPr>
                <w:szCs w:val="21"/>
              </w:rPr>
            </w:pPr>
            <w:r>
              <w:rPr>
                <w:rFonts w:hint="eastAsia"/>
                <w:szCs w:val="21"/>
              </w:rPr>
              <w:t>查《内审检查表》，有</w:t>
            </w:r>
            <w:r>
              <w:rPr>
                <w:rFonts w:hint="eastAsia" w:ascii="宋体" w:hAnsi="宋体" w:cs="宋体"/>
                <w:szCs w:val="21"/>
              </w:rPr>
              <w:t>管理层、综合办公室、业务部、项目部、品质部、采购部和财务部</w:t>
            </w:r>
            <w:r>
              <w:rPr>
                <w:rFonts w:hint="eastAsia"/>
                <w:szCs w:val="21"/>
              </w:rPr>
              <w:t>等部门的审核记录，条款与策划一致，记录真实、完整。包括QEO体系所有条款，没有遗漏。</w:t>
            </w:r>
          </w:p>
          <w:p>
            <w:pPr>
              <w:spacing w:line="280" w:lineRule="exact"/>
              <w:ind w:firstLine="420" w:firstLineChars="200"/>
              <w:rPr>
                <w:szCs w:val="21"/>
              </w:rPr>
            </w:pPr>
            <w:r>
              <w:rPr>
                <w:rFonts w:hint="eastAsia"/>
                <w:szCs w:val="21"/>
              </w:rPr>
              <w:t>查《不合格报告》本次发现不符合</w:t>
            </w:r>
            <w:r>
              <w:rPr>
                <w:szCs w:val="21"/>
              </w:rPr>
              <w:t>1</w:t>
            </w:r>
            <w:r>
              <w:rPr>
                <w:rFonts w:hint="eastAsia"/>
                <w:szCs w:val="21"/>
              </w:rPr>
              <w:t>个，均为一般不符合。</w:t>
            </w:r>
          </w:p>
          <w:p>
            <w:pPr>
              <w:spacing w:line="280" w:lineRule="exact"/>
              <w:ind w:firstLine="420" w:firstLineChars="200"/>
              <w:rPr>
                <w:szCs w:val="21"/>
              </w:rPr>
            </w:pPr>
            <w:r>
              <w:rPr>
                <w:rFonts w:hint="eastAsia"/>
                <w:szCs w:val="21"/>
              </w:rPr>
              <w:t>对于不符合项所采取的纠正等措施，各内审员逐一进行了验证。上述内容记录完整。</w:t>
            </w:r>
          </w:p>
          <w:p>
            <w:pPr>
              <w:spacing w:line="280" w:lineRule="exact"/>
              <w:ind w:firstLine="420" w:firstLineChars="200"/>
              <w:rPr>
                <w:szCs w:val="21"/>
              </w:rPr>
            </w:pPr>
            <w:r>
              <w:rPr>
                <w:rFonts w:hint="eastAsia"/>
                <w:szCs w:val="21"/>
              </w:rPr>
              <w:t>提供《内部审核报告》，结论： 公司建立的质量/环境/职业健康安全管理体系基本符合GB/T19001-2016、GB/T24001-2016、GB/T45001-2020标准要求。管理体系的运行是适宜的、充分的、有效的。</w:t>
            </w:r>
          </w:p>
          <w:p>
            <w:pPr>
              <w:spacing w:line="240" w:lineRule="exact"/>
              <w:rPr>
                <w:b/>
                <w:color w:val="000000" w:themeColor="text1"/>
                <w:sz w:val="20"/>
                <w:szCs w:val="20"/>
              </w:rPr>
            </w:pPr>
            <w:r>
              <w:rPr>
                <w:rFonts w:hint="eastAsia"/>
                <w:szCs w:val="21"/>
              </w:rPr>
              <w:t>查上述资料反映：能保留形成文件的信息，作为实施审核方案以及审核结果的证据。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1077" w:type="dxa"/>
            <w:vMerge w:val="continue"/>
            <w:textDirection w:val="tbRlV"/>
            <w:vAlign w:val="center"/>
          </w:tcPr>
          <w:p>
            <w:pPr>
              <w:spacing w:line="240" w:lineRule="exact"/>
              <w:ind w:left="201" w:right="113" w:hanging="201" w:hangingChars="100"/>
              <w:jc w:val="center"/>
              <w:rPr>
                <w:b/>
                <w:color w:val="000000" w:themeColor="text1"/>
                <w:sz w:val="20"/>
              </w:rPr>
            </w:pPr>
          </w:p>
        </w:tc>
        <w:tc>
          <w:tcPr>
            <w:tcW w:w="8841"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hint="eastAsia" w:ascii="宋体" w:hAnsi="宋体" w:eastAsia="宋体" w:cs="宋体"/>
                <w:szCs w:val="21"/>
                <w:lang w:eastAsia="zh-CN"/>
              </w:rPr>
            </w:pPr>
            <w:r>
              <w:rPr>
                <w:rFonts w:hint="eastAsia" w:ascii="宋体" w:hAnsi="宋体" w:cs="宋体"/>
                <w:szCs w:val="21"/>
              </w:rPr>
              <w:t>评审时间：计划20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日进行</w:t>
            </w:r>
            <w:r>
              <w:rPr>
                <w:rFonts w:hint="eastAsia" w:ascii="宋体" w:hAnsi="宋体" w:cs="宋体"/>
                <w:szCs w:val="21"/>
                <w:lang w:val="en-US" w:eastAsia="zh-CN"/>
              </w:rPr>
              <w:t>；</w:t>
            </w:r>
          </w:p>
          <w:p>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w:t>
            </w:r>
            <w:r>
              <w:rPr>
                <w:rFonts w:hint="eastAsia" w:ascii="宋体" w:hAnsi="宋体" w:cs="宋体"/>
                <w:szCs w:val="21"/>
                <w:lang w:val="en-US" w:eastAsia="zh-CN"/>
              </w:rPr>
              <w:t>信息完善</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3.管理评审报告</w:t>
            </w:r>
            <w:r>
              <w:rPr>
                <w:rFonts w:hint="eastAsia" w:ascii="宋体" w:hAnsi="宋体" w:cs="宋体"/>
                <w:szCs w:val="21"/>
                <w:lang w:eastAsia="zh-CN"/>
              </w:rPr>
              <w:t>：</w:t>
            </w:r>
            <w:r>
              <w:rPr>
                <w:rFonts w:hint="eastAsia" w:ascii="宋体" w:hAnsi="宋体" w:cs="宋体"/>
                <w:szCs w:val="21"/>
              </w:rPr>
              <w:t>管理评审结论：</w:t>
            </w:r>
            <w:r>
              <w:rPr>
                <w:rFonts w:hint="eastAsia" w:ascii="宋体" w:hAnsi="宋体"/>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p>
            <w:pPr>
              <w:spacing w:line="240" w:lineRule="exact"/>
              <w:rPr>
                <w:b/>
                <w:color w:val="000000" w:themeColor="text1"/>
                <w:sz w:val="20"/>
                <w:szCs w:val="20"/>
              </w:rPr>
            </w:pPr>
            <w:r>
              <w:rPr>
                <w:rFonts w:hint="eastAsia" w:ascii="宋体" w:hAnsi="宋体" w:cs="宋体"/>
                <w:szCs w:val="21"/>
              </w:rPr>
              <w:t>管理评审改</w:t>
            </w:r>
            <w:r>
              <w:rPr>
                <w:rFonts w:hint="eastAsia" w:ascii="宋体" w:hAnsi="宋体" w:cs="宋体"/>
                <w:szCs w:val="21"/>
                <w:lang w:val="en-US" w:eastAsia="zh-CN"/>
              </w:rPr>
              <w:t>进要求：</w:t>
            </w:r>
            <w:r>
              <w:rPr>
                <w:rFonts w:hint="eastAsia" w:ascii="宋体" w:hAnsi="宋体"/>
              </w:rPr>
              <w:t>增加2名监理工程师（由综合部实施，2020年</w:t>
            </w:r>
            <w:r>
              <w:rPr>
                <w:rFonts w:hint="eastAsia" w:ascii="宋体" w:hAnsi="宋体"/>
                <w:lang w:val="en-US" w:eastAsia="zh-CN"/>
              </w:rPr>
              <w:t>12</w:t>
            </w:r>
            <w:r>
              <w:rPr>
                <w:rFonts w:hint="eastAsia" w:ascii="宋体" w:hAnsi="宋体"/>
              </w:rPr>
              <w:t>月3</w:t>
            </w:r>
            <w:r>
              <w:rPr>
                <w:rFonts w:hint="eastAsia" w:ascii="宋体" w:hAnsi="宋体"/>
                <w:lang w:val="en-US" w:eastAsia="zh-CN"/>
              </w:rPr>
              <w:t>1</w:t>
            </w:r>
            <w:r>
              <w:rPr>
                <w:rFonts w:hint="eastAsia" w:ascii="宋体" w:hAnsi="宋体"/>
              </w:rPr>
              <w:t>日前完成）</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077" w:type="dxa"/>
            <w:vMerge w:val="continue"/>
            <w:vAlign w:val="center"/>
          </w:tcPr>
          <w:p>
            <w:pPr>
              <w:spacing w:line="240" w:lineRule="exact"/>
              <w:jc w:val="center"/>
              <w:rPr>
                <w:b/>
                <w:color w:val="000000" w:themeColor="text1"/>
                <w:sz w:val="20"/>
              </w:rPr>
            </w:pPr>
          </w:p>
        </w:tc>
        <w:tc>
          <w:tcPr>
            <w:tcW w:w="8841" w:type="dxa"/>
            <w:vAlign w:val="top"/>
          </w:tcPr>
          <w:p>
            <w:pPr>
              <w:spacing w:line="240" w:lineRule="exact"/>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077" w:type="dxa"/>
            <w:vMerge w:val="continue"/>
            <w:vAlign w:val="center"/>
          </w:tcPr>
          <w:p>
            <w:pPr>
              <w:spacing w:line="240" w:lineRule="exact"/>
              <w:jc w:val="center"/>
              <w:rPr>
                <w:b/>
                <w:color w:val="000000" w:themeColor="text1"/>
                <w:sz w:val="20"/>
              </w:rPr>
            </w:pPr>
          </w:p>
        </w:tc>
        <w:tc>
          <w:tcPr>
            <w:tcW w:w="8841" w:type="dxa"/>
            <w:vAlign w:val="top"/>
          </w:tcPr>
          <w:p>
            <w:pPr>
              <w:spacing w:line="300" w:lineRule="exact"/>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1077" w:type="dxa"/>
            <w:vMerge w:val="continue"/>
            <w:vAlign w:val="center"/>
          </w:tcPr>
          <w:p>
            <w:pPr>
              <w:spacing w:line="240" w:lineRule="exact"/>
              <w:jc w:val="center"/>
              <w:rPr>
                <w:b/>
                <w:color w:val="000000" w:themeColor="text1"/>
                <w:sz w:val="20"/>
              </w:rPr>
            </w:pPr>
          </w:p>
        </w:tc>
        <w:tc>
          <w:tcPr>
            <w:tcW w:w="8841" w:type="dxa"/>
            <w:vAlign w:val="top"/>
          </w:tcPr>
          <w:p>
            <w:pPr>
              <w:spacing w:line="240" w:lineRule="exact"/>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1077" w:type="dxa"/>
            <w:vMerge w:val="continue"/>
            <w:vAlign w:val="center"/>
          </w:tcPr>
          <w:p>
            <w:pPr>
              <w:spacing w:line="240" w:lineRule="exact"/>
              <w:jc w:val="center"/>
              <w:rPr>
                <w:b/>
                <w:color w:val="000000" w:themeColor="text1"/>
                <w:sz w:val="20"/>
              </w:rPr>
            </w:pPr>
          </w:p>
        </w:tc>
        <w:tc>
          <w:tcPr>
            <w:tcW w:w="8841" w:type="dxa"/>
            <w:vAlign w:val="top"/>
          </w:tcPr>
          <w:p>
            <w:pPr>
              <w:widowControl/>
              <w:spacing w:line="240" w:lineRule="exact"/>
              <w:rPr>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7" w:type="dxa"/>
            <w:vMerge w:val="continue"/>
            <w:tcBorders>
              <w:bottom w:val="single" w:color="auto" w:sz="4" w:space="0"/>
            </w:tcBorders>
            <w:vAlign w:val="center"/>
          </w:tcPr>
          <w:p>
            <w:pPr>
              <w:spacing w:line="240" w:lineRule="exact"/>
              <w:jc w:val="center"/>
              <w:rPr>
                <w:b/>
                <w:color w:val="000000" w:themeColor="text1"/>
                <w:sz w:val="20"/>
              </w:rPr>
            </w:pPr>
          </w:p>
        </w:tc>
        <w:tc>
          <w:tcPr>
            <w:tcW w:w="8841" w:type="dxa"/>
            <w:tcBorders>
              <w:bottom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077"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8841"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077" w:type="dxa"/>
            <w:vMerge w:val="continue"/>
            <w:vAlign w:val="center"/>
          </w:tcPr>
          <w:p>
            <w:pPr>
              <w:spacing w:line="240" w:lineRule="exact"/>
              <w:jc w:val="center"/>
              <w:rPr>
                <w:b/>
                <w:color w:val="000000" w:themeColor="text1"/>
                <w:sz w:val="20"/>
              </w:rPr>
            </w:pPr>
          </w:p>
        </w:tc>
        <w:tc>
          <w:tcPr>
            <w:tcW w:w="8841"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无重大投诉；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077" w:type="dxa"/>
            <w:vMerge w:val="continue"/>
            <w:vAlign w:val="center"/>
          </w:tcPr>
          <w:p>
            <w:pPr>
              <w:spacing w:line="240" w:lineRule="exact"/>
              <w:jc w:val="center"/>
              <w:rPr>
                <w:b/>
                <w:color w:val="000000" w:themeColor="text1"/>
                <w:sz w:val="20"/>
              </w:rPr>
            </w:pPr>
          </w:p>
        </w:tc>
        <w:tc>
          <w:tcPr>
            <w:tcW w:w="8841"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077" w:type="dxa"/>
            <w:vMerge w:val="continue"/>
            <w:vAlign w:val="center"/>
          </w:tcPr>
          <w:p>
            <w:pPr>
              <w:spacing w:line="240" w:lineRule="exact"/>
              <w:jc w:val="center"/>
              <w:rPr>
                <w:b/>
                <w:color w:val="000000" w:themeColor="text1"/>
                <w:sz w:val="20"/>
              </w:rPr>
            </w:pPr>
          </w:p>
        </w:tc>
        <w:tc>
          <w:tcPr>
            <w:tcW w:w="884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240" w:lineRule="exact"/>
              <w:ind w:leftChars="-50"/>
              <w:rPr>
                <w:rFonts w:hint="eastAsia"/>
                <w:b/>
                <w:color w:val="000000" w:themeColor="text1"/>
                <w:sz w:val="20"/>
                <w:szCs w:val="20"/>
                <w:lang w:eastAsia="zh-CN"/>
              </w:rPr>
            </w:pPr>
            <w:r>
              <w:rPr>
                <w:rFonts w:hint="eastAsia"/>
                <w:b/>
                <w:color w:val="000000" w:themeColor="text1"/>
                <w:sz w:val="20"/>
                <w:szCs w:val="20"/>
                <w:lang w:val="en-US" w:eastAsia="zh-CN"/>
              </w:rPr>
              <w:t>4.</w:t>
            </w:r>
            <w:r>
              <w:rPr>
                <w:rFonts w:hint="eastAsia"/>
                <w:b/>
                <w:color w:val="000000" w:themeColor="text1"/>
                <w:sz w:val="20"/>
                <w:szCs w:val="20"/>
              </w:rPr>
              <w:t>创新情况</w:t>
            </w:r>
            <w:r>
              <w:rPr>
                <w:rFonts w:hint="eastAsia"/>
                <w:b/>
                <w:color w:val="000000" w:themeColor="text1"/>
                <w:sz w:val="20"/>
                <w:szCs w:val="20"/>
                <w:lang w:eastAsia="zh-CN"/>
              </w:rPr>
              <w:t>：</w:t>
            </w:r>
          </w:p>
          <w:p>
            <w:pPr>
              <w:numPr>
                <w:ilvl w:val="0"/>
                <w:numId w:val="0"/>
              </w:numPr>
              <w:spacing w:line="240" w:lineRule="exact"/>
              <w:ind w:left="-105" w:leftChars="-50" w:firstLine="0" w:firstLineChars="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077" w:type="dxa"/>
            <w:vMerge w:val="continue"/>
            <w:vAlign w:val="center"/>
          </w:tcPr>
          <w:p>
            <w:pPr>
              <w:spacing w:line="240" w:lineRule="exact"/>
              <w:jc w:val="center"/>
              <w:rPr>
                <w:b/>
                <w:color w:val="000000" w:themeColor="text1"/>
                <w:sz w:val="20"/>
              </w:rPr>
            </w:pPr>
          </w:p>
        </w:tc>
        <w:tc>
          <w:tcPr>
            <w:tcW w:w="8841"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lang w:val="en-US" w:eastAsia="zh-CN"/>
              </w:rPr>
              <w:t>5.</w:t>
            </w: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bookmarkStart w:id="22" w:name="_GoBack"/>
      <w:bookmarkEnd w:id="22"/>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68" w:leftChars="-405" w:hanging="782" w:hangingChars="326"/>
        <w:rPr>
          <w:b/>
          <w:color w:val="000000" w:themeColor="text1"/>
          <w:sz w:val="16"/>
          <w:szCs w:val="16"/>
        </w:rPr>
      </w:pPr>
      <w:r>
        <w:rPr>
          <w:rFonts w:ascii="宋体" w:hAnsi="宋体"/>
          <w:kern w:val="2"/>
          <w:sz w:val="24"/>
          <w:lang w:val="en-US" w:eastAsia="zh-CN" w:bidi="ar-SA"/>
        </w:rPr>
        <w:drawing>
          <wp:anchor distT="0" distB="0" distL="114300" distR="114300" simplePos="0" relativeHeight="251664384" behindDoc="1" locked="0" layoutInCell="1" allowOverlap="1">
            <wp:simplePos x="0" y="0"/>
            <wp:positionH relativeFrom="column">
              <wp:posOffset>1570990</wp:posOffset>
            </wp:positionH>
            <wp:positionV relativeFrom="paragraph">
              <wp:posOffset>302895</wp:posOffset>
            </wp:positionV>
            <wp:extent cx="711200" cy="514350"/>
            <wp:effectExtent l="0" t="0" r="5080" b="381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lum contrast="6000"/>
                    </a:blip>
                    <a:stretch>
                      <a:fillRect/>
                    </a:stretch>
                  </pic:blipFill>
                  <pic:spPr>
                    <a:xfrm>
                      <a:off x="0" y="0"/>
                      <a:ext cx="711200" cy="5143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default" w:eastAsia="宋体"/>
          <w:sz w:val="22"/>
          <w:szCs w:val="22"/>
          <w:lang w:val="en-US" w:eastAsia="zh-CN"/>
        </w:rPr>
        <w:drawing>
          <wp:anchor distT="0" distB="0" distL="114300" distR="114300" simplePos="0" relativeHeight="251683840" behindDoc="1" locked="0" layoutInCell="1" allowOverlap="1">
            <wp:simplePos x="0" y="0"/>
            <wp:positionH relativeFrom="column">
              <wp:posOffset>3949065</wp:posOffset>
            </wp:positionH>
            <wp:positionV relativeFrom="paragraph">
              <wp:posOffset>55880</wp:posOffset>
            </wp:positionV>
            <wp:extent cx="868680" cy="425450"/>
            <wp:effectExtent l="0" t="0" r="0" b="1270"/>
            <wp:wrapNone/>
            <wp:docPr id="5" name="图片 5"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程晓庆"/>
                    <pic:cNvPicPr>
                      <a:picLocks noChangeAspect="1"/>
                    </pic:cNvPicPr>
                  </pic:nvPicPr>
                  <pic:blipFill>
                    <a:blip r:embed="rId7"/>
                    <a:stretch>
                      <a:fillRect/>
                    </a:stretch>
                  </pic:blipFill>
                  <pic:spPr>
                    <a:xfrm>
                      <a:off x="0" y="0"/>
                      <a:ext cx="868680" cy="42545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82816" behindDoc="1" locked="0" layoutInCell="1" allowOverlap="1">
            <wp:simplePos x="0" y="0"/>
            <wp:positionH relativeFrom="column">
              <wp:posOffset>3148965</wp:posOffset>
            </wp:positionH>
            <wp:positionV relativeFrom="paragraph">
              <wp:posOffset>46990</wp:posOffset>
            </wp:positionV>
            <wp:extent cx="731520" cy="470535"/>
            <wp:effectExtent l="0" t="0" r="0" b="1905"/>
            <wp:wrapNone/>
            <wp:docPr id="6" name="图片 6" descr="孙太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孙太平"/>
                    <pic:cNvPicPr>
                      <a:picLocks noChangeAspect="1"/>
                    </pic:cNvPicPr>
                  </pic:nvPicPr>
                  <pic:blipFill>
                    <a:blip r:embed="rId8"/>
                    <a:stretch>
                      <a:fillRect/>
                    </a:stretch>
                  </pic:blipFill>
                  <pic:spPr>
                    <a:xfrm>
                      <a:off x="0" y="0"/>
                      <a:ext cx="731520" cy="4705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81792" behindDoc="1" locked="0" layoutInCell="1" allowOverlap="1">
            <wp:simplePos x="0" y="0"/>
            <wp:positionH relativeFrom="column">
              <wp:posOffset>2328545</wp:posOffset>
            </wp:positionH>
            <wp:positionV relativeFrom="paragraph">
              <wp:posOffset>82550</wp:posOffset>
            </wp:positionV>
            <wp:extent cx="822960" cy="407035"/>
            <wp:effectExtent l="0" t="0" r="0" b="4445"/>
            <wp:wrapNone/>
            <wp:docPr id="7" name="图片 7"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ascii="宋体" w:hAnsi="宋体"/>
          <w:kern w:val="2"/>
          <w:sz w:val="24"/>
          <w:lang w:val="en-US" w:eastAsia="zh-CN" w:bidi="ar-SA"/>
        </w:rPr>
        <w:drawing>
          <wp:anchor distT="0" distB="0" distL="114300" distR="114300" simplePos="0" relativeHeight="251680768" behindDoc="1" locked="0" layoutInCell="1" allowOverlap="1">
            <wp:simplePos x="0" y="0"/>
            <wp:positionH relativeFrom="column">
              <wp:posOffset>1475740</wp:posOffset>
            </wp:positionH>
            <wp:positionV relativeFrom="paragraph">
              <wp:posOffset>103505</wp:posOffset>
            </wp:positionV>
            <wp:extent cx="818515" cy="413385"/>
            <wp:effectExtent l="0" t="0" r="4445" b="13335"/>
            <wp:wrapNone/>
            <wp:docPr id="8"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任泽华"/>
                    <pic:cNvPicPr>
                      <a:picLocks noChangeAspect="1"/>
                    </pic:cNvPicPr>
                  </pic:nvPicPr>
                  <pic:blipFill>
                    <a:blip r:embed="rId10"/>
                    <a:stretch>
                      <a:fillRect/>
                    </a:stretch>
                  </pic:blipFill>
                  <pic:spPr>
                    <a:xfrm>
                      <a:off x="0" y="0"/>
                      <a:ext cx="818515" cy="41338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3</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kern w:val="2"/>
          <w:sz w:val="24"/>
          <w:lang w:val="en-US" w:eastAsia="zh-CN" w:bidi="ar-SA"/>
        </w:rPr>
        <w:drawing>
          <wp:anchor distT="0" distB="0" distL="114300" distR="114300" simplePos="0" relativeHeight="251671552" behindDoc="1" locked="0" layoutInCell="1" allowOverlap="1">
            <wp:simplePos x="0" y="0"/>
            <wp:positionH relativeFrom="column">
              <wp:posOffset>808990</wp:posOffset>
            </wp:positionH>
            <wp:positionV relativeFrom="paragraph">
              <wp:posOffset>76200</wp:posOffset>
            </wp:positionV>
            <wp:extent cx="711200" cy="514350"/>
            <wp:effectExtent l="0" t="0" r="5080" b="3810"/>
            <wp:wrapNone/>
            <wp:docPr id="4" name="图片 4"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兵签名"/>
                    <pic:cNvPicPr>
                      <a:picLocks noChangeAspect="1"/>
                    </pic:cNvPicPr>
                  </pic:nvPicPr>
                  <pic:blipFill>
                    <a:blip r:embed="rId6">
                      <a:lum contrast="12000"/>
                    </a:blip>
                    <a:stretch>
                      <a:fillRect/>
                    </a:stretch>
                  </pic:blipFill>
                  <pic:spPr>
                    <a:xfrm>
                      <a:off x="0" y="0"/>
                      <a:ext cx="711200" cy="5143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2</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009E7"/>
    <w:multiLevelType w:val="singleLevel"/>
    <w:tmpl w:val="990009E7"/>
    <w:lvl w:ilvl="0" w:tentative="0">
      <w:start w:val="2"/>
      <w:numFmt w:val="decimal"/>
      <w:lvlText w:val="%1."/>
      <w:lvlJc w:val="left"/>
      <w:pPr>
        <w:tabs>
          <w:tab w:val="left" w:pos="312"/>
        </w:tabs>
      </w:pPr>
    </w:lvl>
  </w:abstractNum>
  <w:abstractNum w:abstractNumId="1">
    <w:nsid w:val="08386B6A"/>
    <w:multiLevelType w:val="singleLevel"/>
    <w:tmpl w:val="08386B6A"/>
    <w:lvl w:ilvl="0" w:tentative="0">
      <w:start w:val="2"/>
      <w:numFmt w:val="decimal"/>
      <w:suff w:val="nothing"/>
      <w:lvlText w:val="%1、"/>
      <w:lvlJc w:val="left"/>
    </w:lvl>
  </w:abstractNum>
  <w:abstractNum w:abstractNumId="2">
    <w:nsid w:val="0D487086"/>
    <w:multiLevelType w:val="singleLevel"/>
    <w:tmpl w:val="0D487086"/>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54B34"/>
    <w:rsid w:val="05167BBB"/>
    <w:rsid w:val="060D097E"/>
    <w:rsid w:val="0DDC47EA"/>
    <w:rsid w:val="0F243CE9"/>
    <w:rsid w:val="11436FA5"/>
    <w:rsid w:val="13BA2AA0"/>
    <w:rsid w:val="1C480F63"/>
    <w:rsid w:val="1F6373BE"/>
    <w:rsid w:val="21C94A42"/>
    <w:rsid w:val="2A2F1F1E"/>
    <w:rsid w:val="2DAF2096"/>
    <w:rsid w:val="37251628"/>
    <w:rsid w:val="3E9020F0"/>
    <w:rsid w:val="44C37D80"/>
    <w:rsid w:val="44D2263A"/>
    <w:rsid w:val="48F52D9B"/>
    <w:rsid w:val="5C5C228B"/>
    <w:rsid w:val="64153EE9"/>
    <w:rsid w:val="65CD2ECD"/>
    <w:rsid w:val="693F3B32"/>
    <w:rsid w:val="71C5528F"/>
    <w:rsid w:val="75164EA7"/>
    <w:rsid w:val="7C003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uiPriority w:val="99"/>
    <w:rPr>
      <w:rFonts w:ascii="Times New Roman" w:hAnsi="Times New Roman" w:eastAsia="宋体" w:cs="Times New Roman"/>
      <w:sz w:val="18"/>
      <w:szCs w:val="18"/>
    </w:rPr>
  </w:style>
  <w:style w:type="character" w:customStyle="1" w:styleId="16">
    <w:name w:val="页脚 Char"/>
    <w:basedOn w:val="12"/>
    <w:link w:val="6"/>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2020-12-31T03:26:40Z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