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0719-2020-QEO</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临海市上东物业有限责任公司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7"/>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林兵</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Q:审核员</w:t>
            </w:r>
          </w:p>
          <w:p>
            <w:pPr>
              <w:spacing w:line="240" w:lineRule="exact"/>
              <w:jc w:val="center"/>
              <w:rPr>
                <w:b/>
                <w:color w:val="000000"/>
                <w:sz w:val="20"/>
                <w:szCs w:val="20"/>
              </w:rPr>
            </w:pPr>
            <w:r>
              <w:rPr>
                <w:b/>
                <w:color w:val="000000"/>
                <w:sz w:val="20"/>
                <w:szCs w:val="20"/>
              </w:rPr>
              <w:t>E:审核员</w:t>
            </w:r>
          </w:p>
          <w:p>
            <w:pPr>
              <w:spacing w:line="240" w:lineRule="exact"/>
              <w:jc w:val="center"/>
              <w:rPr>
                <w:b/>
                <w:color w:val="000000"/>
                <w:sz w:val="20"/>
                <w:szCs w:val="20"/>
              </w:rPr>
            </w:pPr>
            <w:r>
              <w:rPr>
                <w:b/>
                <w:color w:val="000000"/>
                <w:sz w:val="20"/>
                <w:szCs w:val="20"/>
              </w:rPr>
              <w:t>O:审核员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王央央</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5"/>
            <w:vAlign w:val="center"/>
          </w:tcPr>
          <w:p>
            <w:pPr>
              <w:spacing w:line="240" w:lineRule="exact"/>
              <w:jc w:val="center"/>
              <w:rPr>
                <w:b/>
                <w:color w:val="000000"/>
                <w:sz w:val="20"/>
                <w:szCs w:val="20"/>
              </w:rPr>
            </w:pPr>
            <w:r>
              <w:rPr>
                <w:b/>
                <w:color w:val="000000"/>
                <w:sz w:val="20"/>
                <w:szCs w:val="20"/>
              </w:rPr>
              <w:t>Q:审核员</w:t>
            </w:r>
          </w:p>
          <w:p>
            <w:pPr>
              <w:spacing w:line="240" w:lineRule="exact"/>
              <w:jc w:val="center"/>
              <w:rPr>
                <w:b/>
                <w:color w:val="000000"/>
                <w:sz w:val="20"/>
                <w:szCs w:val="20"/>
              </w:rPr>
            </w:pPr>
            <w:r>
              <w:rPr>
                <w:b/>
                <w:color w:val="000000"/>
                <w:sz w:val="20"/>
                <w:szCs w:val="20"/>
              </w:rPr>
              <w:t>E:审核员</w:t>
            </w:r>
          </w:p>
          <w:p>
            <w:pPr>
              <w:spacing w:line="240" w:lineRule="exact"/>
              <w:jc w:val="center"/>
              <w:rPr>
                <w:b/>
                <w:color w:val="000000"/>
                <w:sz w:val="20"/>
                <w:szCs w:val="20"/>
              </w:rPr>
            </w:pPr>
            <w:r>
              <w:rPr>
                <w:b/>
                <w:color w:val="000000"/>
                <w:sz w:val="20"/>
                <w:szCs w:val="20"/>
              </w:rPr>
              <w:t>O:审核员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任泽华</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Q:审核员</w:t>
            </w:r>
          </w:p>
          <w:p>
            <w:pPr>
              <w:spacing w:line="240" w:lineRule="exact"/>
              <w:jc w:val="center"/>
              <w:rPr>
                <w:b/>
                <w:color w:val="000000"/>
                <w:sz w:val="20"/>
                <w:szCs w:val="20"/>
              </w:rPr>
            </w:pPr>
            <w:r>
              <w:rPr>
                <w:b/>
                <w:color w:val="000000"/>
                <w:sz w:val="20"/>
                <w:szCs w:val="20"/>
              </w:rPr>
              <w:t>E:审核员</w:t>
            </w:r>
          </w:p>
          <w:p>
            <w:pPr>
              <w:spacing w:line="240" w:lineRule="exact"/>
              <w:jc w:val="center"/>
              <w:rPr>
                <w:b/>
                <w:color w:val="000000"/>
                <w:sz w:val="20"/>
                <w:szCs w:val="20"/>
              </w:rPr>
            </w:pPr>
            <w:r>
              <w:rPr>
                <w:b/>
                <w:color w:val="000000"/>
                <w:sz w:val="20"/>
                <w:szCs w:val="20"/>
              </w:rPr>
              <w:t>O:专家</w:t>
            </w:r>
          </w:p>
          <w:p>
            <w:pPr>
              <w:spacing w:line="240" w:lineRule="exact"/>
              <w:jc w:val="center"/>
              <w:rPr>
                <w:b/>
                <w:color w:val="000000"/>
                <w:sz w:val="20"/>
                <w:szCs w:val="20"/>
              </w:rPr>
            </w:pPr>
          </w:p>
        </w:tc>
        <w:tc>
          <w:tcPr>
            <w:tcW w:w="2179" w:type="dxa"/>
            <w:gridSpan w:val="2"/>
            <w:vAlign w:val="center"/>
          </w:tcPr>
          <w:p>
            <w:pPr>
              <w:spacing w:line="240" w:lineRule="exact"/>
              <w:jc w:val="center"/>
              <w:rPr>
                <w:b/>
                <w:color w:val="000000"/>
                <w:sz w:val="20"/>
                <w:szCs w:val="20"/>
              </w:rPr>
            </w:pPr>
            <w:r>
              <w:rPr>
                <w:b/>
                <w:color w:val="000000"/>
                <w:sz w:val="20"/>
                <w:szCs w:val="20"/>
              </w:rPr>
              <w:t>E:35.15.00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程晓庆</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5"/>
            <w:vAlign w:val="center"/>
          </w:tcPr>
          <w:p>
            <w:pPr>
              <w:spacing w:line="240" w:lineRule="exact"/>
              <w:jc w:val="center"/>
              <w:rPr>
                <w:b/>
                <w:color w:val="000000"/>
                <w:sz w:val="20"/>
                <w:szCs w:val="20"/>
              </w:rPr>
            </w:pPr>
            <w:r>
              <w:rPr>
                <w:b/>
                <w:color w:val="000000"/>
                <w:sz w:val="20"/>
                <w:szCs w:val="20"/>
              </w:rPr>
              <w:t>Q:专家</w:t>
            </w:r>
          </w:p>
          <w:p>
            <w:pPr>
              <w:spacing w:line="240" w:lineRule="exact"/>
              <w:jc w:val="center"/>
              <w:rPr>
                <w:b/>
                <w:color w:val="000000"/>
                <w:sz w:val="20"/>
                <w:szCs w:val="20"/>
              </w:rPr>
            </w:pPr>
            <w:r>
              <w:rPr>
                <w:b/>
                <w:color w:val="000000"/>
                <w:sz w:val="20"/>
                <w:szCs w:val="20"/>
              </w:rPr>
              <w:t>E:专家</w:t>
            </w:r>
          </w:p>
          <w:p>
            <w:pPr>
              <w:spacing w:line="240" w:lineRule="exact"/>
              <w:jc w:val="center"/>
              <w:rPr>
                <w:b/>
                <w:color w:val="000000"/>
                <w:sz w:val="20"/>
                <w:szCs w:val="20"/>
              </w:rPr>
            </w:pPr>
            <w:r>
              <w:rPr>
                <w:b/>
                <w:color w:val="000000"/>
                <w:sz w:val="20"/>
                <w:szCs w:val="20"/>
              </w:rPr>
              <w:t>O:专家</w:t>
            </w:r>
          </w:p>
          <w:p>
            <w:pPr>
              <w:spacing w:line="240" w:lineRule="exact"/>
              <w:jc w:val="center"/>
              <w:rPr>
                <w:b/>
                <w:color w:val="000000"/>
                <w:sz w:val="20"/>
                <w:szCs w:val="20"/>
              </w:rPr>
            </w:pPr>
          </w:p>
        </w:tc>
        <w:tc>
          <w:tcPr>
            <w:tcW w:w="2179" w:type="dxa"/>
            <w:gridSpan w:val="2"/>
            <w:vAlign w:val="center"/>
          </w:tcPr>
          <w:p>
            <w:pPr>
              <w:spacing w:line="240" w:lineRule="exact"/>
              <w:jc w:val="center"/>
              <w:rPr>
                <w:b/>
                <w:color w:val="000000"/>
                <w:sz w:val="20"/>
                <w:szCs w:val="20"/>
              </w:rPr>
            </w:pPr>
            <w:r>
              <w:rPr>
                <w:b/>
                <w:color w:val="000000"/>
                <w:sz w:val="20"/>
                <w:szCs w:val="20"/>
              </w:rPr>
              <w:t>Q:35.15.00,35.16.03,39.02.01</w:t>
            </w:r>
          </w:p>
          <w:p>
            <w:pPr>
              <w:spacing w:line="240" w:lineRule="exact"/>
              <w:jc w:val="center"/>
              <w:rPr>
                <w:b/>
                <w:color w:val="000000"/>
                <w:sz w:val="20"/>
                <w:szCs w:val="20"/>
              </w:rPr>
            </w:pPr>
            <w:r>
              <w:rPr>
                <w:b/>
                <w:color w:val="000000"/>
                <w:sz w:val="20"/>
                <w:szCs w:val="20"/>
              </w:rPr>
              <w:t>E:35.15.00,35.16.03,39.02.01</w:t>
            </w:r>
          </w:p>
          <w:p>
            <w:pPr>
              <w:spacing w:line="240" w:lineRule="exact"/>
              <w:jc w:val="center"/>
              <w:rPr>
                <w:b/>
                <w:color w:val="000000"/>
                <w:sz w:val="20"/>
                <w:szCs w:val="20"/>
              </w:rPr>
            </w:pPr>
            <w:r>
              <w:rPr>
                <w:b/>
                <w:color w:val="000000"/>
                <w:sz w:val="20"/>
                <w:szCs w:val="20"/>
              </w:rPr>
              <w:t>O:35.15.00,35.16.03,39.02.01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孙太平</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Q:专家</w:t>
            </w:r>
          </w:p>
          <w:p>
            <w:pPr>
              <w:spacing w:line="240" w:lineRule="exact"/>
              <w:jc w:val="center"/>
              <w:rPr>
                <w:b/>
                <w:color w:val="000000"/>
                <w:sz w:val="20"/>
                <w:szCs w:val="20"/>
              </w:rPr>
            </w:pPr>
            <w:r>
              <w:rPr>
                <w:b/>
                <w:color w:val="000000"/>
                <w:sz w:val="20"/>
                <w:szCs w:val="20"/>
              </w:rPr>
              <w:t>E:专家</w:t>
            </w:r>
          </w:p>
          <w:p>
            <w:pPr>
              <w:spacing w:line="240" w:lineRule="exact"/>
              <w:jc w:val="center"/>
              <w:rPr>
                <w:b/>
                <w:color w:val="000000"/>
                <w:sz w:val="20"/>
                <w:szCs w:val="20"/>
              </w:rPr>
            </w:pPr>
            <w:r>
              <w:rPr>
                <w:b/>
                <w:color w:val="000000"/>
                <w:sz w:val="20"/>
                <w:szCs w:val="20"/>
              </w:rPr>
              <w:t>O:专家</w:t>
            </w:r>
          </w:p>
          <w:p>
            <w:pPr>
              <w:spacing w:line="240" w:lineRule="exact"/>
              <w:jc w:val="center"/>
              <w:rPr>
                <w:b/>
                <w:color w:val="000000"/>
                <w:sz w:val="20"/>
                <w:szCs w:val="20"/>
              </w:rPr>
            </w:pPr>
          </w:p>
        </w:tc>
        <w:tc>
          <w:tcPr>
            <w:tcW w:w="2179" w:type="dxa"/>
            <w:gridSpan w:val="2"/>
            <w:vAlign w:val="center"/>
          </w:tcPr>
          <w:p>
            <w:pPr>
              <w:spacing w:line="240" w:lineRule="exact"/>
              <w:jc w:val="center"/>
              <w:rPr>
                <w:b/>
                <w:color w:val="000000"/>
                <w:sz w:val="20"/>
                <w:szCs w:val="20"/>
              </w:rPr>
            </w:pPr>
            <w:r>
              <w:rPr>
                <w:b/>
                <w:color w:val="000000"/>
                <w:sz w:val="20"/>
                <w:szCs w:val="20"/>
              </w:rPr>
              <w:t>Q:31.04.01</w:t>
            </w:r>
          </w:p>
          <w:p>
            <w:pPr>
              <w:spacing w:line="240" w:lineRule="exact"/>
              <w:jc w:val="center"/>
              <w:rPr>
                <w:b/>
                <w:color w:val="000000"/>
                <w:sz w:val="20"/>
                <w:szCs w:val="20"/>
              </w:rPr>
            </w:pPr>
            <w:r>
              <w:rPr>
                <w:b/>
                <w:color w:val="000000"/>
                <w:sz w:val="20"/>
                <w:szCs w:val="20"/>
              </w:rPr>
              <w:t>E:31.04.01</w:t>
            </w:r>
          </w:p>
          <w:p>
            <w:pPr>
              <w:spacing w:line="240" w:lineRule="exact"/>
              <w:jc w:val="center"/>
              <w:rPr>
                <w:b/>
                <w:color w:val="000000"/>
                <w:sz w:val="20"/>
                <w:szCs w:val="20"/>
              </w:rPr>
            </w:pPr>
            <w:r>
              <w:rPr>
                <w:b/>
                <w:color w:val="000000"/>
                <w:sz w:val="20"/>
                <w:szCs w:val="20"/>
              </w:rPr>
              <w:t>O:31.04.01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质量管理体系,环境管理体系,职业健康安全管理体系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bookmarkStart w:id="8" w:name="S勾选Add1"/>
      <w:r>
        <w:rPr>
          <w:rFonts w:hint="eastAsia" w:ascii="宋体" w:hAnsi="宋体"/>
          <w:b/>
          <w:color w:val="000000"/>
          <w:sz w:val="20"/>
          <w:szCs w:val="20"/>
          <w:lang w:val="de-DE"/>
        </w:rPr>
        <w:t>■</w:t>
      </w:r>
      <w:bookmarkEnd w:id="8"/>
      <w:r>
        <w:rPr>
          <w:rFonts w:ascii="宋体" w:hAnsi="宋体"/>
          <w:b/>
          <w:color w:val="000000"/>
          <w:sz w:val="20"/>
          <w:szCs w:val="20"/>
          <w:lang w:val="de-DE"/>
        </w:rPr>
        <w:t xml:space="preserve">GB/28001-2011 </w:t>
      </w:r>
      <w:r>
        <w:rPr>
          <w:rFonts w:hint="eastAsia" w:ascii="宋体" w:hAnsi="宋体"/>
          <w:b/>
          <w:color w:val="000000"/>
          <w:sz w:val="20"/>
          <w:szCs w:val="20"/>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rPr>
        <w:t>□受审核方管理手册第版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程序文件第版。□合同要求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7"/>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9" w:name="组织名称Add2"/>
            <w:r>
              <w:rPr>
                <w:rFonts w:ascii="宋体"/>
                <w:b/>
                <w:color w:val="000000"/>
                <w:sz w:val="20"/>
                <w:szCs w:val="20"/>
              </w:rPr>
              <w:t>临海市上东物业有限责任公司</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10" w:name="注册地址"/>
            <w:r>
              <w:rPr>
                <w:rFonts w:ascii="宋体"/>
                <w:b/>
                <w:color w:val="000000"/>
                <w:sz w:val="20"/>
                <w:szCs w:val="20"/>
              </w:rPr>
              <w:t>浙江省台州市临海市头门港新区靖海大道9-1号（自主申报）</w:t>
            </w:r>
            <w:bookmarkEnd w:id="10"/>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11" w:name="注册邮编"/>
            <w:r>
              <w:rPr>
                <w:rFonts w:ascii="宋体"/>
                <w:b/>
                <w:color w:val="000000"/>
                <w:sz w:val="20"/>
                <w:szCs w:val="20"/>
              </w:rPr>
              <w:t>317000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12" w:name="经营地址"/>
            <w:bookmarkEnd w:id="12"/>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3" w:name="经营邮编"/>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14" w:name="生产地址Add1"/>
            <w:r>
              <w:rPr>
                <w:rFonts w:ascii="宋体"/>
                <w:b/>
                <w:color w:val="000000"/>
                <w:sz w:val="20"/>
                <w:szCs w:val="20"/>
              </w:rPr>
              <w:t>浙江省台州市临海市头门港新区靖海大道9-1号（自主申报）</w:t>
            </w:r>
            <w:bookmarkEnd w:id="14"/>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5" w:name="生产邮编Add1"/>
            <w:r>
              <w:rPr>
                <w:rFonts w:ascii="宋体"/>
                <w:b/>
                <w:color w:val="000000"/>
                <w:sz w:val="20"/>
                <w:szCs w:val="20"/>
              </w:rPr>
              <w:t>317000</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6" w:name="联系人Add1"/>
            <w:r>
              <w:rPr>
                <w:rFonts w:ascii="宋体"/>
                <w:b/>
                <w:color w:val="000000"/>
                <w:sz w:val="20"/>
                <w:szCs w:val="20"/>
              </w:rPr>
              <w:t>严剑江</w:t>
            </w:r>
            <w:bookmarkEnd w:id="16"/>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7" w:name="联系人电话Add1"/>
            <w:r>
              <w:rPr>
                <w:rFonts w:ascii="宋体"/>
                <w:b/>
                <w:color w:val="000000"/>
                <w:sz w:val="20"/>
                <w:szCs w:val="20"/>
              </w:rPr>
              <w:t>0576-89368007</w:t>
            </w:r>
            <w:bookmarkEnd w:id="17"/>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8" w:name="联系人传真Add1"/>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9" w:name="法人"/>
            <w:r>
              <w:rPr>
                <w:rFonts w:ascii="宋体"/>
                <w:b/>
                <w:color w:val="000000"/>
                <w:sz w:val="20"/>
                <w:szCs w:val="20"/>
              </w:rPr>
              <w:t>杨振威</w:t>
            </w:r>
            <w:bookmarkEnd w:id="19"/>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bookmarkStart w:id="20" w:name="管理者代表"/>
            <w:r>
              <w:rPr>
                <w:rFonts w:ascii="宋体"/>
                <w:b/>
                <w:color w:val="000000"/>
                <w:sz w:val="20"/>
                <w:szCs w:val="20"/>
              </w:rPr>
              <w:t>严剑江</w:t>
            </w:r>
            <w:bookmarkEnd w:id="20"/>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21" w:name="联系人邮箱Add1"/>
            <w:r>
              <w:rPr>
                <w:rFonts w:ascii="宋体"/>
                <w:b/>
                <w:color w:val="000000"/>
                <w:sz w:val="20"/>
                <w:szCs w:val="20"/>
              </w:rPr>
              <w:t>941863110@qq.com</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bookmarkStart w:id="22" w:name="审核范围"/>
            <w:r>
              <w:rPr>
                <w:rFonts w:ascii="宋体" w:hAnsi="宋体"/>
                <w:b/>
                <w:color w:val="000000"/>
                <w:sz w:val="20"/>
                <w:szCs w:val="20"/>
              </w:rPr>
              <w:t>Q：物业管理，城市生活垃圾清扫、收集、运输，河道保洁(限许可范围内）</w:t>
            </w:r>
          </w:p>
          <w:p>
            <w:pPr>
              <w:spacing w:line="400" w:lineRule="exact"/>
              <w:rPr>
                <w:rFonts w:ascii="宋体" w:hAnsi="宋体"/>
                <w:b/>
                <w:color w:val="000000"/>
                <w:sz w:val="20"/>
                <w:szCs w:val="20"/>
              </w:rPr>
            </w:pPr>
            <w:r>
              <w:rPr>
                <w:rFonts w:ascii="宋体" w:hAnsi="宋体"/>
                <w:b/>
                <w:color w:val="000000"/>
                <w:sz w:val="20"/>
                <w:szCs w:val="20"/>
              </w:rPr>
              <w:t>E：物业管理，城市生活垃圾清扫、收集、运输，河道保洁(限许可范围内）所涉及场所的相关环境活动</w:t>
            </w:r>
          </w:p>
          <w:p>
            <w:pPr>
              <w:spacing w:line="400" w:lineRule="exact"/>
              <w:rPr>
                <w:rFonts w:ascii="宋体" w:hAnsi="宋体"/>
                <w:b/>
                <w:color w:val="000000"/>
                <w:sz w:val="20"/>
                <w:szCs w:val="20"/>
              </w:rPr>
            </w:pPr>
            <w:r>
              <w:rPr>
                <w:rFonts w:ascii="宋体" w:hAnsi="宋体"/>
                <w:b/>
                <w:color w:val="000000"/>
                <w:sz w:val="20"/>
                <w:szCs w:val="20"/>
              </w:rPr>
              <w:t>O：物业管理，城市生活垃圾清扫、收集、运输，河道保洁(限许可范围内）所涉及场所的相关职业健康安全管理活动</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23" w:name="专业代码"/>
            <w:r>
              <w:rPr>
                <w:rFonts w:ascii="宋体"/>
                <w:b/>
                <w:color w:val="000000"/>
                <w:sz w:val="20"/>
                <w:szCs w:val="20"/>
              </w:rPr>
              <w:t>Q：31.04.01;35.15.00;35.16.03;39.02.01</w:t>
            </w:r>
          </w:p>
          <w:p>
            <w:pPr>
              <w:spacing w:line="280" w:lineRule="exact"/>
              <w:rPr>
                <w:rFonts w:ascii="宋体"/>
                <w:b/>
                <w:color w:val="000000"/>
                <w:sz w:val="20"/>
                <w:szCs w:val="20"/>
              </w:rPr>
            </w:pPr>
            <w:r>
              <w:rPr>
                <w:rFonts w:ascii="宋体"/>
                <w:b/>
                <w:color w:val="000000"/>
                <w:sz w:val="20"/>
                <w:szCs w:val="20"/>
              </w:rPr>
              <w:t>E：31.04.01;35.15.00;35.16.03;39.02.01</w:t>
            </w:r>
          </w:p>
          <w:p>
            <w:pPr>
              <w:spacing w:line="280" w:lineRule="exact"/>
              <w:rPr>
                <w:rFonts w:ascii="宋体"/>
                <w:b/>
                <w:color w:val="000000"/>
                <w:sz w:val="20"/>
                <w:szCs w:val="20"/>
              </w:rPr>
            </w:pPr>
            <w:r>
              <w:rPr>
                <w:rFonts w:ascii="宋体"/>
                <w:b/>
                <w:color w:val="000000"/>
                <w:sz w:val="20"/>
                <w:szCs w:val="20"/>
              </w:rPr>
              <w:t>O：31.04.01;35.15.00;35.16.03;39.02.01</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hint="default" w:ascii="宋体" w:eastAsia="宋体"/>
          <w:b/>
          <w:color w:val="000000"/>
          <w:sz w:val="20"/>
          <w:szCs w:val="20"/>
          <w:lang w:val="en-US" w:eastAsia="zh-CN"/>
        </w:rPr>
      </w:pPr>
      <w:r>
        <w:rPr>
          <w:rFonts w:hint="eastAsia" w:ascii="宋体" w:hAnsi="宋体"/>
          <w:b/>
          <w:color w:val="000000"/>
          <w:spacing w:val="-10"/>
          <w:sz w:val="20"/>
          <w:szCs w:val="20"/>
        </w:rPr>
        <w:sym w:font="Wingdings 2" w:char="0052"/>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r>
        <w:rPr>
          <w:rFonts w:hint="eastAsia" w:ascii="宋体" w:hAnsi="宋体"/>
          <w:b/>
          <w:color w:val="000000"/>
          <w:sz w:val="20"/>
          <w:szCs w:val="20"/>
          <w:lang w:eastAsia="zh-CN"/>
        </w:rPr>
        <w:t>：</w:t>
      </w:r>
      <w:r>
        <w:rPr>
          <w:rFonts w:hint="eastAsia" w:ascii="宋体" w:hAnsi="宋体"/>
          <w:b/>
          <w:color w:val="000000"/>
          <w:sz w:val="20"/>
          <w:szCs w:val="20"/>
          <w:lang w:val="en-US" w:eastAsia="zh-CN"/>
        </w:rPr>
        <w:t xml:space="preserve">管理手册、程序文件、外来文件、法规文件、重要环境因素、不可接受风险清单等； </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sym w:font="Wingdings 2" w:char="0052"/>
      </w: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hint="default" w:ascii="宋体" w:eastAsia="宋体"/>
          <w:b/>
          <w:color w:val="000000"/>
          <w:sz w:val="20"/>
          <w:szCs w:val="20"/>
          <w:lang w:val="en-US" w:eastAsia="zh-CN"/>
        </w:rPr>
      </w:pPr>
      <w:r>
        <w:rPr>
          <w:rFonts w:hint="eastAsia" w:ascii="宋体" w:hAnsi="宋体"/>
          <w:b/>
          <w:color w:val="000000"/>
          <w:sz w:val="20"/>
          <w:szCs w:val="20"/>
        </w:rPr>
        <w:t>部门：</w:t>
      </w:r>
      <w:r>
        <w:rPr>
          <w:rFonts w:hint="eastAsia" w:ascii="宋体" w:hAnsi="宋体"/>
          <w:b/>
          <w:color w:val="000000"/>
          <w:sz w:val="20"/>
          <w:szCs w:val="20"/>
          <w:lang w:val="en-US" w:eastAsia="zh-CN"/>
        </w:rPr>
        <w:t>管理层、综合办公室、项目部、品管部、业务部、采购部、财务部</w:t>
      </w:r>
    </w:p>
    <w:p>
      <w:pPr>
        <w:spacing w:line="300" w:lineRule="auto"/>
        <w:ind w:firstLine="269" w:firstLineChars="134"/>
        <w:rPr>
          <w:rFonts w:hint="default" w:ascii="宋体" w:eastAsia="宋体"/>
          <w:b/>
          <w:color w:val="000000"/>
          <w:sz w:val="20"/>
          <w:szCs w:val="20"/>
          <w:u w:val="single"/>
          <w:lang w:val="en-US" w:eastAsia="zh-CN"/>
        </w:rPr>
      </w:pPr>
      <w:r>
        <w:rPr>
          <w:rFonts w:hint="eastAsia" w:ascii="宋体" w:hAnsi="宋体"/>
          <w:b/>
          <w:color w:val="000000"/>
          <w:sz w:val="20"/>
          <w:szCs w:val="20"/>
        </w:rPr>
        <w:t>场所：</w:t>
      </w:r>
      <w:r>
        <w:rPr>
          <w:rFonts w:hint="eastAsia" w:ascii="宋体" w:hAnsi="宋体"/>
          <w:b/>
          <w:color w:val="000000"/>
          <w:sz w:val="20"/>
          <w:szCs w:val="20"/>
          <w:lang w:val="en-US" w:eastAsia="zh-CN"/>
        </w:rPr>
        <w:t>办公场所</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7"/>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sym w:font="Wingdings 2" w:char="00A3"/>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b/>
                <w:color w:val="000000"/>
                <w:spacing w:val="-10"/>
                <w:sz w:val="20"/>
                <w:szCs w:val="20"/>
              </w:rPr>
              <w:sym w:font="Wingdings 2" w:char="0052"/>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A3"/>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5"/>
        <w:pBdr>
          <w:bottom w:val="none" w:color="auto" w:sz="0" w:space="0"/>
        </w:pBdr>
        <w:ind w:right="600"/>
        <w:jc w:val="both"/>
        <w:rPr>
          <w:color w:val="000000"/>
          <w:sz w:val="32"/>
          <w:szCs w:val="32"/>
        </w:rPr>
      </w:pPr>
    </w:p>
    <w:p>
      <w:pPr>
        <w:pStyle w:val="5"/>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7"/>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ascii="宋体"/>
                <w:b/>
                <w:color w:val="000000"/>
                <w:sz w:val="20"/>
                <w:szCs w:val="20"/>
              </w:rPr>
            </w:pPr>
            <w:r>
              <w:rPr>
                <w:rFonts w:hint="eastAsia" w:ascii="宋体" w:hAnsi="宋体"/>
                <w:b/>
                <w:color w:val="000000"/>
                <w:sz w:val="20"/>
                <w:szCs w:val="20"/>
              </w:rPr>
              <w:t>产品：</w:t>
            </w:r>
          </w:p>
          <w:p>
            <w:r>
              <w:rPr>
                <w:rFonts w:hint="eastAsia" w:ascii="宋体" w:hAnsi="宋体"/>
                <w:b/>
                <w:color w:val="000000"/>
                <w:sz w:val="20"/>
                <w:szCs w:val="20"/>
              </w:rPr>
              <w:t>服务：</w:t>
            </w:r>
            <w:r>
              <w:t>Q：物业管理，城市生活垃圾清扫、收集、运输，河道保洁(限许可范围内）</w:t>
            </w:r>
          </w:p>
          <w:p>
            <w:r>
              <w:t>E：物业管理，城市生活垃圾清扫、收集、运输，河道保洁(限许可范围内）所涉及场所的相关环境活动</w:t>
            </w:r>
          </w:p>
          <w:p>
            <w:pPr>
              <w:tabs>
                <w:tab w:val="left" w:pos="360"/>
              </w:tabs>
              <w:ind w:left="360" w:hanging="360"/>
              <w:rPr>
                <w:rFonts w:ascii="宋体"/>
                <w:b/>
                <w:color w:val="000000"/>
                <w:sz w:val="20"/>
                <w:szCs w:val="20"/>
              </w:rPr>
            </w:pPr>
            <w:r>
              <w:t>O：物业管理，城市生活垃圾清扫、收集、运输，河道保洁(限许可范围内）所涉及场所的相关职业健康安全管理活动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156" w:beforeLines="50"/>
              <w:ind w:left="357" w:hanging="357"/>
              <w:rPr>
                <w:rFonts w:hint="eastAsia" w:ascii="宋体" w:hAnsi="宋体"/>
                <w:b/>
                <w:color w:val="000000"/>
                <w:sz w:val="20"/>
                <w:szCs w:val="20"/>
                <w:lang w:val="en-US" w:eastAsia="zh-CN"/>
              </w:rPr>
            </w:pPr>
            <w:r>
              <w:rPr>
                <w:rFonts w:hint="eastAsia" w:ascii="宋体" w:hAnsi="宋体"/>
                <w:b/>
                <w:color w:val="000000"/>
                <w:sz w:val="20"/>
                <w:szCs w:val="20"/>
              </w:rPr>
              <w:t>公司部门设置：</w:t>
            </w:r>
            <w:r>
              <w:rPr>
                <w:rFonts w:hint="eastAsia" w:ascii="宋体" w:hAnsi="宋体"/>
                <w:b/>
                <w:color w:val="000000"/>
                <w:sz w:val="20"/>
                <w:szCs w:val="20"/>
                <w:lang w:val="en-US" w:eastAsia="zh-CN"/>
              </w:rPr>
              <w:t>综合办公室、项目部、品管部、业务部、采购部、财务部</w:t>
            </w:r>
          </w:p>
          <w:p>
            <w:pPr>
              <w:tabs>
                <w:tab w:val="left" w:pos="360"/>
              </w:tabs>
              <w:spacing w:before="156" w:beforeLines="50"/>
              <w:ind w:left="357" w:hanging="357"/>
              <w:rPr>
                <w:rFonts w:hint="default" w:ascii="宋体" w:eastAsia="宋体"/>
                <w:b/>
                <w:color w:val="000000"/>
                <w:sz w:val="20"/>
                <w:szCs w:val="20"/>
                <w:lang w:val="en-US" w:eastAsia="zh-CN"/>
              </w:rPr>
            </w:pPr>
            <w:r>
              <w:rPr>
                <w:rFonts w:hint="eastAsia" w:ascii="宋体" w:hAnsi="宋体"/>
                <w:b/>
                <w:color w:val="000000"/>
                <w:sz w:val="20"/>
                <w:szCs w:val="20"/>
              </w:rPr>
              <w:t>管理体系推进部门：</w:t>
            </w:r>
            <w:r>
              <w:rPr>
                <w:rFonts w:hint="eastAsia" w:ascii="宋体" w:hAnsi="宋体"/>
                <w:b/>
                <w:color w:val="000000"/>
                <w:sz w:val="20"/>
                <w:szCs w:val="20"/>
                <w:lang w:val="en-US" w:eastAsia="zh-CN"/>
              </w:rPr>
              <w:t>项目部</w:t>
            </w:r>
          </w:p>
          <w:p>
            <w:pPr>
              <w:tabs>
                <w:tab w:val="left" w:pos="360"/>
              </w:tabs>
              <w:spacing w:before="156" w:beforeLines="50"/>
              <w:ind w:left="357" w:hanging="357"/>
              <w:rPr>
                <w:rFonts w:hint="default" w:ascii="宋体" w:eastAsia="宋体"/>
                <w:b/>
                <w:color w:val="000000"/>
                <w:sz w:val="20"/>
                <w:szCs w:val="20"/>
                <w:lang w:val="en-US" w:eastAsia="zh-CN"/>
              </w:rPr>
            </w:pPr>
            <w:r>
              <w:rPr>
                <w:rFonts w:hint="eastAsia" w:ascii="宋体" w:hAnsi="宋体"/>
                <w:b/>
                <w:color w:val="000000"/>
                <w:sz w:val="20"/>
                <w:szCs w:val="20"/>
              </w:rPr>
              <w:t>质量管理部门：</w:t>
            </w:r>
            <w:r>
              <w:rPr>
                <w:rFonts w:hint="eastAsia" w:ascii="宋体" w:hAnsi="宋体"/>
                <w:b/>
                <w:color w:val="000000"/>
                <w:sz w:val="20"/>
                <w:szCs w:val="20"/>
                <w:lang w:val="en-US" w:eastAsia="zh-CN"/>
              </w:rPr>
              <w:t>品管部</w:t>
            </w:r>
          </w:p>
          <w:p>
            <w:pPr>
              <w:tabs>
                <w:tab w:val="left" w:pos="360"/>
              </w:tabs>
              <w:spacing w:before="156" w:beforeLines="50"/>
              <w:ind w:left="357" w:hanging="357"/>
              <w:rPr>
                <w:rFonts w:hint="default" w:ascii="宋体" w:eastAsia="宋体"/>
                <w:b/>
                <w:color w:val="000000"/>
                <w:sz w:val="20"/>
                <w:szCs w:val="20"/>
                <w:lang w:val="en-US" w:eastAsia="zh-CN"/>
              </w:rPr>
            </w:pPr>
            <w:r>
              <w:rPr>
                <w:rFonts w:hint="eastAsia" w:ascii="宋体" w:hAnsi="宋体"/>
                <w:b/>
                <w:color w:val="000000"/>
                <w:sz w:val="20"/>
                <w:szCs w:val="20"/>
              </w:rPr>
              <w:t>环境管理主管部门：</w:t>
            </w:r>
            <w:r>
              <w:rPr>
                <w:rFonts w:hint="eastAsia" w:ascii="宋体" w:hAnsi="宋体"/>
                <w:b/>
                <w:color w:val="000000"/>
                <w:sz w:val="20"/>
                <w:szCs w:val="20"/>
                <w:lang w:val="en-US" w:eastAsia="zh-CN"/>
              </w:rPr>
              <w:t>项目部</w:t>
            </w:r>
          </w:p>
          <w:p>
            <w:pPr>
              <w:tabs>
                <w:tab w:val="left" w:pos="360"/>
              </w:tabs>
              <w:spacing w:before="156" w:beforeLines="50"/>
              <w:ind w:left="357" w:hanging="357"/>
              <w:rPr>
                <w:rFonts w:hint="eastAsia" w:ascii="宋体" w:eastAsia="宋体"/>
                <w:b/>
                <w:color w:val="000000"/>
                <w:sz w:val="20"/>
                <w:szCs w:val="20"/>
                <w:lang w:val="en-US" w:eastAsia="zh-CN"/>
              </w:rPr>
            </w:pPr>
            <w:r>
              <w:rPr>
                <w:rFonts w:hint="eastAsia" w:ascii="宋体" w:hAnsi="宋体"/>
                <w:b/>
                <w:color w:val="000000"/>
                <w:sz w:val="20"/>
                <w:szCs w:val="20"/>
              </w:rPr>
              <w:t>职业健康安全主管部门：</w:t>
            </w:r>
            <w:r>
              <w:rPr>
                <w:rFonts w:hint="eastAsia" w:ascii="宋体" w:hAnsi="宋体"/>
                <w:b/>
                <w:color w:val="000000"/>
                <w:sz w:val="20"/>
                <w:szCs w:val="20"/>
                <w:lang w:val="en-US" w:eastAsia="zh-CN"/>
              </w:rPr>
              <w:t>项目部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r>
              <w:rPr>
                <w:rFonts w:hint="eastAsia" w:ascii="宋体" w:hAnsi="宋体" w:eastAsia="宋体" w:cs="Times New Roman"/>
                <w:color w:val="000000"/>
                <w:sz w:val="20"/>
                <w:szCs w:val="20"/>
              </w:rPr>
              <w:t>浙江省台州市临海市头门港新区靖海大道9-1号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hint="default" w:ascii="宋体" w:eastAsia="宋体"/>
                <w:color w:val="000000"/>
                <w:sz w:val="20"/>
                <w:szCs w:val="20"/>
                <w:lang w:val="en-US" w:eastAsia="zh-CN"/>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r>
              <w:rPr>
                <w:rFonts w:hint="eastAsia" w:ascii="宋体" w:hAnsi="宋体"/>
                <w:color w:val="000000"/>
                <w:sz w:val="20"/>
                <w:szCs w:val="20"/>
                <w:lang w:val="en-US" w:eastAsia="zh-CN"/>
              </w:rPr>
              <w:t>2个； 海望家园管理处</w:t>
            </w:r>
            <w:r>
              <w:rPr>
                <w:rFonts w:hint="eastAsia" w:ascii="宋体" w:hAnsi="宋体" w:eastAsia="宋体" w:cs="Times New Roman"/>
                <w:color w:val="000000"/>
                <w:sz w:val="20"/>
                <w:szCs w:val="20"/>
                <w:lang w:val="en-US" w:eastAsia="zh-CN"/>
              </w:rPr>
              <w:t>、南洋道路管理处</w:t>
            </w: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rPr>
                <w:rFonts w:hint="default" w:ascii="宋体" w:eastAsia="宋体"/>
                <w:color w:val="000000"/>
                <w:sz w:val="20"/>
                <w:szCs w:val="20"/>
                <w:lang w:val="en-US" w:eastAsia="zh-CN"/>
              </w:rPr>
            </w:pPr>
            <w:r>
              <w:rPr>
                <w:rFonts w:hint="eastAsia" w:ascii="宋体" w:hAnsi="宋体"/>
                <w:color w:val="000000"/>
                <w:sz w:val="20"/>
                <w:szCs w:val="20"/>
              </w:rPr>
              <w:t>受审核方位于：</w:t>
            </w:r>
            <w:r>
              <w:rPr>
                <w:rFonts w:hint="eastAsia" w:ascii="宋体" w:hAnsi="宋体" w:eastAsia="宋体" w:cs="Times New Roman"/>
                <w:color w:val="000000"/>
                <w:sz w:val="20"/>
                <w:szCs w:val="20"/>
              </w:rPr>
              <w:t>浙江省台州市临海市头门港新区靖海大道9-1号</w:t>
            </w:r>
            <w:r>
              <w:rPr>
                <w:rFonts w:hint="eastAsia" w:ascii="宋体" w:hAnsi="宋体" w:eastAsia="宋体" w:cs="Times New Roman"/>
                <w:color w:val="000000"/>
                <w:sz w:val="20"/>
                <w:szCs w:val="20"/>
                <w:lang w:eastAsia="zh-CN"/>
              </w:rPr>
              <w:t>；</w:t>
            </w:r>
            <w:r>
              <w:rPr>
                <w:rFonts w:hint="eastAsia" w:ascii="宋体" w:hAnsi="宋体" w:eastAsia="宋体" w:cs="Times New Roman"/>
                <w:color w:val="000000"/>
                <w:sz w:val="20"/>
                <w:szCs w:val="20"/>
                <w:lang w:val="en-US" w:eastAsia="zh-CN"/>
              </w:rPr>
              <w:t xml:space="preserve">  </w:t>
            </w:r>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rPr>
              <w:t>□</w:t>
            </w:r>
            <w:r>
              <w:rPr>
                <w:rFonts w:hint="eastAsia" w:ascii="宋体" w:hAnsi="宋体"/>
                <w:color w:val="000000"/>
                <w:sz w:val="20"/>
                <w:szCs w:val="20"/>
              </w:rPr>
              <w:t>自建办公用房</w:t>
            </w:r>
            <w:r>
              <w:rPr>
                <w:rFonts w:hint="eastAsia" w:ascii="宋体" w:hAnsi="宋体"/>
                <w:color w:val="000000"/>
                <w:spacing w:val="-10"/>
                <w:sz w:val="20"/>
                <w:szCs w:val="20"/>
              </w:rPr>
              <w:t>□</w:t>
            </w:r>
            <w:r>
              <w:rPr>
                <w:rFonts w:hint="eastAsia" w:ascii="宋体" w:hAnsi="宋体"/>
                <w:color w:val="000000"/>
                <w:sz w:val="20"/>
                <w:szCs w:val="20"/>
              </w:rPr>
              <w:t>自建厂房</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租用办公用房□租用厂房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rPr>
              <w:sym w:font="Wingdings 2" w:char="0052"/>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z w:val="20"/>
                <w:szCs w:val="20"/>
              </w:rPr>
              <w:sym w:font="Wingdings 2" w:char="0052"/>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156"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rPr>
              <w:sym w:font="Wingdings 2" w:char="0052"/>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sym w:font="Wingdings 2" w:char="00A3"/>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hint="default" w:ascii="宋体" w:eastAsia="宋体"/>
                <w:color w:val="000000"/>
                <w:sz w:val="20"/>
                <w:szCs w:val="20"/>
                <w:lang w:val="en-US" w:eastAsia="zh-CN"/>
              </w:rPr>
            </w:pPr>
            <w:r>
              <w:rPr>
                <w:rFonts w:hint="eastAsia" w:ascii="宋体"/>
                <w:color w:val="000000"/>
                <w:sz w:val="20"/>
                <w:szCs w:val="20"/>
              </w:rPr>
              <w:t>其他资质：</w:t>
            </w:r>
            <w:r>
              <w:rPr>
                <w:rFonts w:hint="eastAsia" w:ascii="宋体"/>
                <w:color w:val="000000"/>
                <w:sz w:val="20"/>
                <w:szCs w:val="20"/>
                <w:lang w:val="en-US" w:eastAsia="zh-CN"/>
              </w:rPr>
              <w:t xml:space="preserve">城市生活垃圾经营性清扫、收集、运输服务许可证；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hint="default" w:ascii="宋体" w:eastAsia="宋体"/>
                <w:color w:val="000000"/>
                <w:spacing w:val="-10"/>
                <w:sz w:val="20"/>
                <w:szCs w:val="20"/>
                <w:lang w:val="en-US" w:eastAsia="zh-CN"/>
              </w:rPr>
            </w:pPr>
            <w:r>
              <w:rPr>
                <w:rFonts w:hint="eastAsia" w:ascii="宋体" w:hAnsi="宋体"/>
                <w:color w:val="000000"/>
                <w:spacing w:val="-10"/>
                <w:sz w:val="20"/>
                <w:szCs w:val="20"/>
              </w:rPr>
              <w:t>□产品技术标准号：</w:t>
            </w:r>
            <w:r>
              <w:rPr>
                <w:rFonts w:hint="eastAsia" w:ascii="宋体" w:hAnsi="宋体"/>
                <w:color w:val="000000"/>
                <w:spacing w:val="-10"/>
                <w:sz w:val="20"/>
                <w:szCs w:val="20"/>
                <w:lang w:val="en-US" w:eastAsia="zh-CN"/>
              </w:rPr>
              <w:t xml:space="preserve">     </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合同：</w:t>
            </w:r>
            <w:r>
              <w:rPr>
                <w:rFonts w:hint="eastAsia" w:ascii="宋体" w:hAnsi="宋体"/>
                <w:color w:val="000000"/>
                <w:spacing w:val="-10"/>
                <w:sz w:val="20"/>
                <w:szCs w:val="20"/>
                <w:lang w:val="en-US" w:eastAsia="zh-CN"/>
              </w:rPr>
              <w:t xml:space="preserve">SD20191030-5海望家园物业管理合同; SD20200710-85垃圾清运协议书等；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rPr>
                <w:rFonts w:hint="eastAsia"/>
              </w:rPr>
            </w:pPr>
            <w:r>
              <w:rPr>
                <w:rFonts w:hint="eastAsia"/>
              </w:rPr>
              <w:t>物业管理流程：</w:t>
            </w:r>
          </w:p>
          <w:p>
            <w:pPr>
              <w:rPr>
                <w:rFonts w:hint="eastAsia"/>
              </w:rPr>
            </w:pPr>
            <w:r>
              <w:rPr>
                <w:rFonts w:hint="eastAsia"/>
              </w:rPr>
              <w:t>签订合同→项目策划→前期摸排→成立物业管理处→项目入驻→提供服务→征求意见→完善体系→服务持续改进</w:t>
            </w:r>
          </w:p>
          <w:p>
            <w:pPr>
              <w:rPr>
                <w:rFonts w:hint="eastAsia"/>
                <w:szCs w:val="22"/>
              </w:rPr>
            </w:pPr>
            <w:r>
              <w:rPr>
                <w:rFonts w:hint="eastAsia"/>
                <w:szCs w:val="22"/>
              </w:rPr>
              <w:t>城市生活垃圾清扫、收集、运输流程：</w:t>
            </w:r>
          </w:p>
          <w:p>
            <w:pPr>
              <w:rPr>
                <w:rFonts w:hint="eastAsia"/>
                <w:szCs w:val="22"/>
              </w:rPr>
            </w:pPr>
            <w:r>
              <w:rPr>
                <w:rFonts w:hint="eastAsia"/>
                <w:szCs w:val="22"/>
              </w:rPr>
              <w:t>签订合同→制定工作标准→获取垃圾清运指标→提供清扫、收集、运输服务→征求意见→完善体系→服务持续改进</w:t>
            </w:r>
          </w:p>
          <w:p>
            <w:pPr>
              <w:rPr>
                <w:rFonts w:hint="eastAsia"/>
                <w:szCs w:val="22"/>
              </w:rPr>
            </w:pPr>
            <w:r>
              <w:rPr>
                <w:rFonts w:hint="eastAsia"/>
                <w:szCs w:val="22"/>
              </w:rPr>
              <w:t>河道保洁流程：</w:t>
            </w:r>
          </w:p>
          <w:p>
            <w:pPr>
              <w:rPr>
                <w:rFonts w:ascii="宋体"/>
                <w:color w:val="000000"/>
                <w:sz w:val="20"/>
                <w:szCs w:val="20"/>
              </w:rPr>
            </w:pPr>
            <w:r>
              <w:rPr>
                <w:rFonts w:hint="eastAsia"/>
                <w:szCs w:val="22"/>
              </w:rPr>
              <w:t>签订合同→制定工作标准→提供服务→征求意见→完善体系→服务持续改进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default" w:ascii="宋体" w:eastAsia="宋体"/>
                <w:color w:val="000000"/>
                <w:sz w:val="20"/>
                <w:szCs w:val="20"/>
                <w:lang w:val="en-US" w:eastAsia="zh-CN"/>
              </w:rPr>
            </w:pPr>
            <w:r>
              <w:rPr>
                <w:rFonts w:hint="eastAsia" w:ascii="宋体" w:hAnsi="宋体"/>
                <w:color w:val="000000"/>
                <w:sz w:val="20"/>
                <w:szCs w:val="20"/>
              </w:rPr>
              <w:t>关键过程有：</w:t>
            </w:r>
            <w:r>
              <w:rPr>
                <w:rFonts w:hint="eastAsia" w:ascii="宋体" w:hAnsi="宋体"/>
                <w:color w:val="000000"/>
                <w:sz w:val="20"/>
                <w:szCs w:val="20"/>
                <w:lang w:val="en-US" w:eastAsia="zh-CN"/>
              </w:rPr>
              <w:t xml:space="preserve">服务过程全过程；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hint="default" w:ascii="宋体" w:eastAsia="宋体"/>
                <w:color w:val="000000"/>
                <w:sz w:val="20"/>
                <w:szCs w:val="20"/>
                <w:lang w:val="en-US" w:eastAsia="zh-CN"/>
              </w:rPr>
            </w:pPr>
            <w:r>
              <w:rPr>
                <w:rFonts w:hint="eastAsia" w:ascii="宋体" w:hAnsi="宋体"/>
                <w:color w:val="000000"/>
                <w:sz w:val="20"/>
                <w:szCs w:val="20"/>
              </w:rPr>
              <w:t>针对关键过程建立的控制文件有：</w:t>
            </w:r>
            <w:r>
              <w:rPr>
                <w:rFonts w:hint="eastAsia" w:ascii="宋体" w:hAnsi="宋体"/>
                <w:color w:val="000000"/>
                <w:sz w:val="20"/>
                <w:szCs w:val="20"/>
                <w:lang w:val="en-US" w:eastAsia="zh-CN"/>
              </w:rPr>
              <w:t xml:space="preserve">岗位职责、道路清扫作业管理、道路保洁管理制度、河道保洁员指导书等；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hint="default" w:ascii="宋体" w:eastAsia="宋体"/>
                <w:color w:val="000000"/>
                <w:spacing w:val="-10"/>
                <w:sz w:val="20"/>
                <w:szCs w:val="20"/>
                <w:lang w:val="en-US" w:eastAsia="zh-CN"/>
              </w:rPr>
            </w:pPr>
            <w:r>
              <w:rPr>
                <w:rFonts w:hint="eastAsia" w:ascii="宋体" w:hAnsi="宋体"/>
                <w:color w:val="000000"/>
                <w:sz w:val="20"/>
                <w:szCs w:val="20"/>
              </w:rPr>
              <w:t>需要确认过程：</w:t>
            </w:r>
            <w:r>
              <w:rPr>
                <w:rFonts w:hint="eastAsia" w:ascii="宋体" w:hAnsi="宋体"/>
                <w:color w:val="000000"/>
                <w:sz w:val="20"/>
                <w:szCs w:val="20"/>
                <w:lang w:val="en-US" w:eastAsia="zh-CN"/>
              </w:rPr>
              <w:t xml:space="preserve">服务全过程；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default" w:ascii="宋体" w:eastAsia="宋体"/>
                <w:color w:val="000000"/>
                <w:spacing w:val="-10"/>
                <w:sz w:val="20"/>
                <w:szCs w:val="20"/>
                <w:lang w:val="en-US" w:eastAsia="zh-CN"/>
              </w:rPr>
            </w:pPr>
            <w:r>
              <w:rPr>
                <w:rFonts w:hint="eastAsia" w:ascii="宋体" w:hAnsi="宋体"/>
                <w:color w:val="000000"/>
                <w:sz w:val="20"/>
                <w:szCs w:val="20"/>
              </w:rPr>
              <w:t>外包过程有：</w:t>
            </w:r>
            <w:r>
              <w:rPr>
                <w:rFonts w:hint="eastAsia" w:ascii="宋体" w:hAnsi="宋体"/>
                <w:color w:val="000000"/>
                <w:sz w:val="20"/>
                <w:szCs w:val="20"/>
                <w:lang w:val="en-US" w:eastAsia="zh-CN"/>
              </w:rPr>
              <w:t>保安服务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hint="default" w:ascii="宋体" w:eastAsia="宋体"/>
                <w:color w:val="000000"/>
                <w:spacing w:val="-10"/>
                <w:sz w:val="20"/>
                <w:szCs w:val="20"/>
                <w:lang w:val="en-US" w:eastAsia="zh-CN"/>
              </w:rPr>
            </w:pPr>
            <w:r>
              <w:rPr>
                <w:rFonts w:hint="eastAsia" w:ascii="宋体" w:hAnsi="宋体"/>
                <w:color w:val="000000"/>
                <w:sz w:val="20"/>
                <w:szCs w:val="20"/>
              </w:rPr>
              <w:t>是否明确了外包过程的控制方法：</w:t>
            </w:r>
            <w:r>
              <w:rPr>
                <w:rFonts w:hint="eastAsia" w:ascii="宋体" w:hAnsi="宋体"/>
                <w:color w:val="000000"/>
                <w:sz w:val="20"/>
                <w:szCs w:val="20"/>
                <w:lang w:val="en-US" w:eastAsia="zh-CN"/>
              </w:rPr>
              <w:t xml:space="preserve">提供外包方保安经营许可证等供方评价材料；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rPr>
                <w:rFonts w:hint="default" w:ascii="宋体" w:eastAsia="宋体"/>
                <w:color w:val="000000"/>
                <w:spacing w:val="-10"/>
                <w:sz w:val="20"/>
                <w:szCs w:val="20"/>
                <w:lang w:val="en-US" w:eastAsia="zh-CN"/>
              </w:rPr>
            </w:pPr>
            <w:r>
              <w:rPr>
                <w:rFonts w:hint="eastAsia" w:ascii="宋体" w:hAnsi="宋体"/>
                <w:color w:val="000000"/>
                <w:spacing w:val="-10"/>
                <w:sz w:val="20"/>
                <w:szCs w:val="20"/>
              </w:rPr>
              <w:t>主要设备：</w:t>
            </w:r>
            <w:r>
              <w:rPr>
                <w:rFonts w:hint="eastAsia" w:ascii="宋体" w:hAnsi="宋体"/>
                <w:color w:val="000000"/>
                <w:spacing w:val="-10"/>
                <w:sz w:val="20"/>
                <w:szCs w:val="20"/>
                <w:lang w:val="en-US" w:eastAsia="zh-CN"/>
              </w:rPr>
              <w:t xml:space="preserve">清运车辆、清扫物业等物业作业必备消耗设备、电工作业橡胶绝缘鞋等；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设备是否满足要求</w:t>
            </w:r>
            <w:r>
              <w:rPr>
                <w:rFonts w:hint="eastAsia" w:ascii="宋体" w:hAnsi="宋体"/>
                <w:color w:val="000000"/>
                <w:sz w:val="20"/>
                <w:szCs w:val="20"/>
              </w:rPr>
              <w:sym w:font="Wingdings 2" w:char="0052"/>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hint="default" w:ascii="宋体" w:eastAsia="宋体"/>
                <w:color w:val="000000"/>
                <w:sz w:val="20"/>
                <w:szCs w:val="20"/>
                <w:lang w:val="en-US" w:eastAsia="zh-CN"/>
              </w:rPr>
            </w:pPr>
            <w:r>
              <w:rPr>
                <w:rFonts w:hint="eastAsia" w:ascii="宋体" w:hAnsi="宋体"/>
                <w:color w:val="000000"/>
                <w:sz w:val="20"/>
                <w:szCs w:val="20"/>
              </w:rPr>
              <w:t>特种设备：</w:t>
            </w:r>
            <w:r>
              <w:rPr>
                <w:rFonts w:hint="eastAsia" w:ascii="宋体" w:hAnsi="宋体"/>
                <w:color w:val="000000"/>
                <w:sz w:val="20"/>
                <w:szCs w:val="20"/>
                <w:lang w:val="en-US" w:eastAsia="zh-CN"/>
              </w:rPr>
              <w:t xml:space="preserve">无特种设备；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特种设备是否按规定检定□是□否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hint="default" w:ascii="宋体" w:eastAsia="宋体"/>
                <w:color w:val="000000"/>
                <w:sz w:val="20"/>
                <w:szCs w:val="20"/>
                <w:lang w:val="en-US" w:eastAsia="zh-CN"/>
              </w:rPr>
            </w:pPr>
            <w:r>
              <w:rPr>
                <w:rFonts w:hint="eastAsia" w:ascii="宋体"/>
                <w:color w:val="000000"/>
                <w:sz w:val="20"/>
                <w:szCs w:val="20"/>
              </w:rPr>
              <w:t>监视和测量设备（请简述主要监视和测量设备）：</w:t>
            </w:r>
            <w:r>
              <w:rPr>
                <w:rFonts w:hint="eastAsia" w:ascii="宋体"/>
                <w:color w:val="000000"/>
                <w:sz w:val="20"/>
                <w:szCs w:val="20"/>
                <w:lang w:val="en-US" w:eastAsia="zh-CN"/>
              </w:rPr>
              <w:t>钢卷尺、万用表；</w:t>
            </w:r>
            <w:bookmarkStart w:id="24" w:name="_GoBack"/>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sz w:val="20"/>
                <w:szCs w:val="20"/>
              </w:rPr>
            </w:pPr>
            <w:r>
              <w:rPr>
                <w:rFonts w:hint="eastAsia" w:ascii="宋体"/>
                <w:color w:val="000000"/>
                <w:sz w:val="20"/>
                <w:szCs w:val="20"/>
              </w:rPr>
              <w:t>检测设备是否满足要求□是□否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hint="default" w:ascii="宋体" w:eastAsia="宋体"/>
                <w:color w:val="000000"/>
                <w:sz w:val="20"/>
                <w:szCs w:val="20"/>
                <w:lang w:val="en-US" w:eastAsia="zh-CN"/>
              </w:rPr>
            </w:pPr>
            <w:r>
              <w:rPr>
                <w:rFonts w:hint="eastAsia" w:ascii="宋体"/>
                <w:color w:val="000000"/>
                <w:sz w:val="20"/>
                <w:szCs w:val="20"/>
                <w:lang w:val="en-US" w:eastAsia="zh-CN"/>
              </w:rPr>
              <w:t>无特殊要求。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hint="default" w:ascii="宋体" w:eastAsia="宋体"/>
                <w:color w:val="000000"/>
                <w:sz w:val="20"/>
                <w:szCs w:val="20"/>
                <w:lang w:val="en-US" w:eastAsia="zh-CN"/>
              </w:rPr>
            </w:pPr>
            <w:r>
              <w:rPr>
                <w:rFonts w:hint="eastAsia" w:ascii="宋体"/>
                <w:color w:val="000000"/>
                <w:sz w:val="20"/>
                <w:szCs w:val="20"/>
              </w:rPr>
              <w:t>重要环境因素有</w:t>
            </w:r>
            <w:r>
              <w:rPr>
                <w:rFonts w:hint="eastAsia" w:ascii="宋体" w:hAnsi="Times New Roman" w:eastAsia="宋体" w:cs="Times New Roman"/>
                <w:color w:val="000000"/>
                <w:sz w:val="20"/>
                <w:szCs w:val="20"/>
              </w:rPr>
              <w:t>：潜在火灾事故的发生</w:t>
            </w:r>
            <w:r>
              <w:rPr>
                <w:rFonts w:hint="eastAsia" w:ascii="宋体" w:hAnsi="Times New Roman" w:eastAsia="宋体" w:cs="Times New Roman"/>
                <w:color w:val="000000"/>
                <w:sz w:val="20"/>
                <w:szCs w:val="20"/>
                <w:lang w:eastAsia="zh-CN"/>
              </w:rPr>
              <w:t>、</w:t>
            </w:r>
            <w:r>
              <w:rPr>
                <w:rFonts w:hint="eastAsia" w:ascii="宋体" w:hAnsi="Times New Roman" w:eastAsia="宋体" w:cs="Times New Roman"/>
                <w:color w:val="000000"/>
                <w:sz w:val="20"/>
                <w:szCs w:val="20"/>
              </w:rPr>
              <w:t>固体危废弃物的排放</w:t>
            </w:r>
            <w:r>
              <w:rPr>
                <w:rFonts w:hint="eastAsia" w:ascii="宋体" w:hAnsi="Times New Roman" w:eastAsia="宋体" w:cs="Times New Roman"/>
                <w:color w:val="000000"/>
                <w:sz w:val="20"/>
                <w:szCs w:val="20"/>
                <w:lang w:eastAsia="zh-CN"/>
              </w:rPr>
              <w:t>；</w:t>
            </w:r>
            <w:r>
              <w:rPr>
                <w:rFonts w:hint="eastAsia" w:ascii="宋体" w:hAnsi="Times New Roman" w:eastAsia="宋体" w:cs="Times New Roman"/>
                <w:color w:val="000000"/>
                <w:sz w:val="20"/>
                <w:szCs w:val="20"/>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针对重要环境因素建立了运行控制程序：管理方案控制程序</w:t>
            </w:r>
            <w:r>
              <w:rPr>
                <w:rFonts w:hint="eastAsia" w:ascii="宋体"/>
                <w:color w:val="000000"/>
                <w:sz w:val="20"/>
                <w:szCs w:val="20"/>
                <w:lang w:eastAsia="zh-CN"/>
              </w:rPr>
              <w:t>、</w:t>
            </w:r>
            <w:r>
              <w:rPr>
                <w:rFonts w:hint="eastAsia" w:ascii="宋体"/>
                <w:color w:val="000000"/>
                <w:sz w:val="20"/>
                <w:szCs w:val="20"/>
              </w:rPr>
              <w:t>环境因素识别与评价管理程序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hint="eastAsia" w:ascii="宋体" w:eastAsia="宋体"/>
                <w:color w:val="000000"/>
                <w:sz w:val="20"/>
                <w:szCs w:val="20"/>
                <w:lang w:val="en-US" w:eastAsia="zh-CN"/>
              </w:rPr>
            </w:pPr>
            <w:r>
              <w:rPr>
                <w:rFonts w:hint="eastAsia" w:ascii="宋体"/>
                <w:color w:val="000000"/>
                <w:sz w:val="20"/>
                <w:szCs w:val="20"/>
              </w:rPr>
              <w:t>针对重要环境因素是否明确了监视和测量的要求：</w:t>
            </w:r>
            <w:r>
              <w:rPr>
                <w:rFonts w:hint="eastAsia" w:ascii="宋体"/>
                <w:color w:val="000000"/>
                <w:sz w:val="20"/>
                <w:szCs w:val="20"/>
                <w:lang w:val="en-US" w:eastAsia="zh-CN"/>
              </w:rPr>
              <w:t>明确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hint="eastAsia" w:ascii="宋体"/>
                <w:color w:val="000000"/>
                <w:sz w:val="20"/>
                <w:szCs w:val="20"/>
              </w:rPr>
              <w:sym w:font="Wingdings 2" w:char="0052"/>
            </w:r>
            <w:r>
              <w:rPr>
                <w:rFonts w:hint="eastAsia" w:ascii="宋体"/>
                <w:color w:val="000000"/>
                <w:sz w:val="20"/>
                <w:szCs w:val="20"/>
              </w:rPr>
              <w:t>是□否，识别是否充分</w:t>
            </w:r>
            <w:r>
              <w:rPr>
                <w:rFonts w:hint="eastAsia" w:ascii="宋体"/>
                <w:color w:val="000000"/>
                <w:sz w:val="20"/>
                <w:szCs w:val="20"/>
              </w:rPr>
              <w:sym w:font="Wingdings 2" w:char="0052"/>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hint="eastAsia" w:ascii="宋体"/>
                <w:color w:val="000000"/>
                <w:sz w:val="20"/>
                <w:szCs w:val="20"/>
              </w:rPr>
              <w:sym w:font="Wingdings 2" w:char="0052"/>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hint="eastAsia" w:ascii="宋体"/>
                <w:color w:val="000000"/>
                <w:sz w:val="20"/>
                <w:szCs w:val="20"/>
              </w:rPr>
              <w:sym w:font="Wingdings 2" w:char="0052"/>
            </w:r>
            <w:r>
              <w:rPr>
                <w:rFonts w:hint="eastAsia" w:ascii="宋体"/>
                <w:color w:val="000000"/>
                <w:sz w:val="20"/>
                <w:szCs w:val="20"/>
              </w:rPr>
              <w:t>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hint="default" w:ascii="宋体" w:eastAsia="宋体"/>
                <w:color w:val="000000"/>
                <w:sz w:val="20"/>
                <w:szCs w:val="20"/>
                <w:lang w:val="en-US" w:eastAsia="zh-CN"/>
              </w:rPr>
            </w:pPr>
            <w:r>
              <w:rPr>
                <w:rFonts w:hint="eastAsia" w:ascii="宋体"/>
                <w:color w:val="000000"/>
                <w:sz w:val="20"/>
                <w:szCs w:val="20"/>
              </w:rPr>
              <w:t>应急预案有：消防应急预案（火灾应急预案）</w:t>
            </w:r>
            <w:r>
              <w:rPr>
                <w:rFonts w:hint="eastAsia" w:ascii="宋体"/>
                <w:color w:val="000000"/>
                <w:sz w:val="20"/>
                <w:szCs w:val="20"/>
                <w:lang w:eastAsia="zh-CN"/>
              </w:rPr>
              <w:t>、防台防讯防雷应急预案、公共卫生突发事件应急预案</w:t>
            </w:r>
            <w:r>
              <w:rPr>
                <w:rFonts w:hint="eastAsia" w:ascii="宋体"/>
                <w:color w:val="000000"/>
                <w:sz w:val="20"/>
                <w:szCs w:val="20"/>
                <w:lang w:val="en-US" w:eastAsia="zh-CN"/>
              </w:rPr>
              <w:t xml:space="preserve">等；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不可接受风险有</w:t>
            </w:r>
            <w:r>
              <w:rPr>
                <w:rFonts w:hint="eastAsia" w:ascii="宋体" w:hAnsi="Times New Roman" w:eastAsia="宋体" w:cs="Times New Roman"/>
                <w:color w:val="000000"/>
                <w:sz w:val="20"/>
                <w:szCs w:val="20"/>
              </w:rPr>
              <w:t>：触电</w:t>
            </w:r>
            <w:r>
              <w:rPr>
                <w:rFonts w:hint="eastAsia" w:ascii="宋体" w:hAnsi="Times New Roman" w:eastAsia="宋体" w:cs="Times New Roman"/>
                <w:color w:val="000000"/>
                <w:sz w:val="20"/>
                <w:szCs w:val="20"/>
                <w:lang w:eastAsia="zh-CN"/>
              </w:rPr>
              <w:t>、</w:t>
            </w:r>
            <w:r>
              <w:rPr>
                <w:rFonts w:hint="eastAsia" w:ascii="宋体" w:hAnsi="Times New Roman" w:eastAsia="宋体" w:cs="Times New Roman"/>
                <w:color w:val="000000"/>
                <w:sz w:val="20"/>
                <w:szCs w:val="20"/>
              </w:rPr>
              <w:t>火灾</w:t>
            </w:r>
            <w:r>
              <w:rPr>
                <w:rFonts w:hint="eastAsia" w:ascii="宋体" w:hAnsi="Times New Roman" w:eastAsia="宋体" w:cs="Times New Roman"/>
                <w:color w:val="000000"/>
                <w:sz w:val="20"/>
                <w:szCs w:val="20"/>
                <w:lang w:eastAsia="zh-CN"/>
              </w:rPr>
              <w:t>、</w:t>
            </w:r>
            <w:r>
              <w:rPr>
                <w:rFonts w:hint="eastAsia" w:ascii="宋体" w:hAnsi="Times New Roman" w:eastAsia="宋体" w:cs="Times New Roman"/>
                <w:color w:val="000000"/>
                <w:sz w:val="20"/>
                <w:szCs w:val="20"/>
              </w:rPr>
              <w:t>机械伤害</w:t>
            </w:r>
            <w:r>
              <w:rPr>
                <w:rFonts w:hint="eastAsia" w:ascii="宋体" w:hAnsi="Times New Roman" w:eastAsia="宋体" w:cs="Times New Roman"/>
                <w:color w:val="000000"/>
                <w:sz w:val="20"/>
                <w:szCs w:val="20"/>
                <w:lang w:eastAsia="zh-CN"/>
              </w:rPr>
              <w:t>、</w:t>
            </w:r>
            <w:r>
              <w:rPr>
                <w:rFonts w:hint="eastAsia" w:ascii="宋体" w:hAnsi="Times New Roman" w:eastAsia="宋体" w:cs="Times New Roman"/>
                <w:color w:val="000000"/>
                <w:sz w:val="20"/>
                <w:szCs w:val="20"/>
              </w:rPr>
              <w:t>意外伤害</w:t>
            </w:r>
            <w:r>
              <w:rPr>
                <w:rFonts w:hint="eastAsia" w:ascii="宋体" w:hAnsi="Times New Roman" w:eastAsia="宋体" w:cs="Times New Roman"/>
                <w:color w:val="000000"/>
                <w:sz w:val="20"/>
                <w:szCs w:val="20"/>
                <w:lang w:val="en-US" w:eastAsia="zh-CN"/>
              </w:rPr>
              <w:t>及传染病感染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针对不可接受风险建立了运行控制程序：管理方案控制程序</w:t>
            </w:r>
            <w:r>
              <w:rPr>
                <w:rFonts w:hint="eastAsia" w:ascii="宋体"/>
                <w:color w:val="000000"/>
                <w:sz w:val="20"/>
                <w:szCs w:val="20"/>
                <w:lang w:eastAsia="zh-CN"/>
              </w:rPr>
              <w:t>、</w:t>
            </w:r>
            <w:r>
              <w:rPr>
                <w:rFonts w:hint="eastAsia" w:ascii="宋体"/>
                <w:color w:val="000000"/>
                <w:sz w:val="20"/>
                <w:szCs w:val="20"/>
              </w:rPr>
              <w:t>危险源辨识与风险评价控制措施管理程</w:t>
            </w:r>
            <w:r>
              <w:rPr>
                <w:rFonts w:hint="eastAsia" w:ascii="宋体"/>
                <w:color w:val="000000"/>
                <w:sz w:val="20"/>
                <w:szCs w:val="20"/>
                <w:lang w:eastAsia="zh-CN"/>
              </w:rPr>
              <w:t>；</w:t>
            </w:r>
            <w:r>
              <w:rPr>
                <w:rFonts w:hint="eastAsia" w:ascii="宋体"/>
                <w:color w:val="000000"/>
                <w:sz w:val="20"/>
                <w:szCs w:val="20"/>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hint="eastAsia" w:ascii="宋体" w:eastAsia="宋体"/>
                <w:color w:val="000000"/>
                <w:sz w:val="20"/>
                <w:szCs w:val="20"/>
                <w:lang w:val="en-US" w:eastAsia="zh-CN"/>
              </w:rPr>
            </w:pPr>
            <w:r>
              <w:rPr>
                <w:rFonts w:hint="eastAsia" w:ascii="宋体"/>
                <w:color w:val="000000"/>
                <w:sz w:val="20"/>
                <w:szCs w:val="20"/>
              </w:rPr>
              <w:t>针对不可接受风险是否明确了监视和测量的要求：</w:t>
            </w:r>
            <w:r>
              <w:rPr>
                <w:rFonts w:hint="eastAsia" w:ascii="宋体"/>
                <w:color w:val="000000"/>
                <w:sz w:val="20"/>
                <w:szCs w:val="20"/>
                <w:lang w:val="en-US" w:eastAsia="zh-CN"/>
              </w:rPr>
              <w:t>明确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hint="eastAsia" w:ascii="宋体"/>
                <w:color w:val="000000"/>
                <w:sz w:val="20"/>
                <w:szCs w:val="20"/>
              </w:rPr>
              <w:sym w:font="Wingdings 2" w:char="0052"/>
            </w:r>
            <w:r>
              <w:rPr>
                <w:rFonts w:hint="eastAsia" w:ascii="宋体"/>
                <w:color w:val="000000"/>
                <w:sz w:val="20"/>
                <w:szCs w:val="20"/>
              </w:rPr>
              <w:t>是□否，识别是否充分</w:t>
            </w:r>
            <w:r>
              <w:rPr>
                <w:rFonts w:hint="eastAsia" w:ascii="宋体"/>
                <w:color w:val="000000"/>
                <w:sz w:val="20"/>
                <w:szCs w:val="20"/>
              </w:rPr>
              <w:sym w:font="Wingdings 2" w:char="0052"/>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hint="eastAsia" w:ascii="宋体"/>
                <w:color w:val="000000"/>
                <w:sz w:val="20"/>
                <w:szCs w:val="20"/>
              </w:rPr>
              <w:sym w:font="Wingdings 2" w:char="0052"/>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hint="eastAsia" w:ascii="宋体"/>
                <w:color w:val="000000"/>
                <w:sz w:val="20"/>
                <w:szCs w:val="20"/>
              </w:rPr>
              <w:sym w:font="Wingdings 2" w:char="0052"/>
            </w:r>
            <w:r>
              <w:rPr>
                <w:rFonts w:hint="eastAsia" w:ascii="宋体"/>
                <w:color w:val="000000"/>
                <w:sz w:val="20"/>
                <w:szCs w:val="20"/>
              </w:rPr>
              <w:t>是□否□充分□需完善</w:t>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43</w:t>
            </w:r>
            <w:r>
              <w:rPr>
                <w:rFonts w:hint="eastAsia" w:ascii="宋体"/>
                <w:color w:val="000000"/>
                <w:sz w:val="20"/>
                <w:szCs w:val="20"/>
              </w:rPr>
              <w:t>人，其中管理人员：</w:t>
            </w:r>
            <w:r>
              <w:rPr>
                <w:rFonts w:hint="eastAsia" w:ascii="宋体"/>
                <w:color w:val="000000"/>
                <w:sz w:val="20"/>
                <w:szCs w:val="20"/>
                <w:lang w:val="en-US" w:eastAsia="zh-CN"/>
              </w:rPr>
              <w:t>10</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w:t>
            </w:r>
            <w:r>
              <w:rPr>
                <w:rFonts w:hint="eastAsia" w:ascii="宋体"/>
                <w:color w:val="000000"/>
                <w:sz w:val="20"/>
                <w:szCs w:val="20"/>
                <w:lang w:val="en-US" w:eastAsia="zh-CN"/>
              </w:rPr>
              <w:t>20</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w:t>
            </w:r>
            <w:r>
              <w:rPr>
                <w:rFonts w:hint="eastAsia" w:ascii="宋体"/>
                <w:color w:val="000000"/>
                <w:sz w:val="20"/>
                <w:szCs w:val="20"/>
                <w:lang w:val="en-US" w:eastAsia="zh-CN"/>
              </w:rPr>
              <w:t>16</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 xml:space="preserve">综合办公室、项目部及分现场、业务和采购过程； </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重点审核过程：</w:t>
            </w:r>
            <w:r>
              <w:rPr>
                <w:rFonts w:hint="eastAsia" w:ascii="宋体" w:hAnsi="宋体"/>
                <w:b/>
                <w:color w:val="000000"/>
                <w:sz w:val="20"/>
                <w:szCs w:val="20"/>
                <w:lang w:val="en-US" w:eastAsia="zh-CN"/>
              </w:rPr>
              <w:t xml:space="preserve">文件管理过程、项目部服务实施过程（三类）、采购和分包实施过程； </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 xml:space="preserve">项目部及作业场所；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项目部</w:t>
            </w:r>
          </w:p>
          <w:p>
            <w:pPr>
              <w:spacing w:line="260" w:lineRule="exact"/>
              <w:rPr>
                <w:rFonts w:ascii="宋体"/>
                <w:b/>
                <w:color w:val="000000"/>
                <w:sz w:val="20"/>
                <w:szCs w:val="20"/>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 xml:space="preserve">项目部作业场所； </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项目部</w:t>
            </w:r>
          </w:p>
          <w:p>
            <w:pPr>
              <w:spacing w:line="260" w:lineRule="exact"/>
              <w:rPr>
                <w:rFonts w:ascii="宋体"/>
                <w:b/>
                <w:color w:val="000000"/>
                <w:sz w:val="20"/>
                <w:szCs w:val="20"/>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 xml:space="preserve">项目部作业场所； </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vAlign w:val="top"/>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vAlign w:val="top"/>
          </w:tcPr>
          <w:p>
            <w:pPr>
              <w:spacing w:line="260" w:lineRule="exact"/>
              <w:rPr>
                <w:rFonts w:ascii="宋体"/>
                <w:b/>
                <w:color w:val="000000"/>
                <w:sz w:val="20"/>
                <w:szCs w:val="20"/>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ascii="宋体" w:hAnsi="宋体"/>
                <w:b/>
                <w:color w:val="000000"/>
                <w:sz w:val="20"/>
                <w:szCs w:val="20"/>
              </w:rPr>
              <w:t>编制内部审核计划；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vAlign w:val="top"/>
          </w:tcPr>
          <w:p>
            <w:pPr>
              <w:spacing w:line="260" w:lineRule="exact"/>
              <w:rPr>
                <w:rFonts w:ascii="宋体"/>
                <w:b/>
                <w:color w:val="000000"/>
                <w:sz w:val="20"/>
                <w:szCs w:val="20"/>
              </w:rPr>
            </w:pPr>
          </w:p>
        </w:tc>
        <w:tc>
          <w:tcPr>
            <w:tcW w:w="8221" w:type="dxa"/>
            <w:vAlign w:val="top"/>
          </w:tcPr>
          <w:p>
            <w:pPr>
              <w:spacing w:line="260" w:lineRule="exact"/>
              <w:rPr>
                <w:rFonts w:ascii="宋体"/>
                <w:b/>
                <w:color w:val="000000"/>
                <w:sz w:val="20"/>
                <w:szCs w:val="20"/>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r>
              <w:rPr>
                <w:rFonts w:hint="eastAsia" w:ascii="宋体" w:hAnsi="宋体"/>
                <w:b/>
                <w:color w:val="000000"/>
                <w:sz w:val="20"/>
                <w:szCs w:val="20"/>
              </w:rPr>
              <w:t>查看审核计划和检查表，基本覆盖了管理体系的全范围。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vAlign w:val="top"/>
          </w:tcPr>
          <w:p>
            <w:pPr>
              <w:spacing w:line="260" w:lineRule="exact"/>
              <w:rPr>
                <w:rFonts w:ascii="宋体"/>
                <w:b/>
                <w:color w:val="000000"/>
                <w:sz w:val="20"/>
                <w:szCs w:val="20"/>
              </w:rPr>
            </w:pPr>
          </w:p>
        </w:tc>
        <w:tc>
          <w:tcPr>
            <w:tcW w:w="8221" w:type="dxa"/>
            <w:vAlign w:val="top"/>
          </w:tcPr>
          <w:p>
            <w:pPr>
              <w:spacing w:line="260" w:lineRule="exact"/>
              <w:rPr>
                <w:rFonts w:ascii="宋体"/>
                <w:b/>
                <w:color w:val="000000"/>
                <w:sz w:val="20"/>
                <w:szCs w:val="20"/>
              </w:rPr>
            </w:pPr>
            <w:r>
              <w:rPr>
                <w:rFonts w:hint="eastAsia" w:ascii="宋体" w:hAnsi="宋体"/>
                <w:b/>
                <w:color w:val="000000"/>
                <w:sz w:val="20"/>
                <w:szCs w:val="20"/>
              </w:rPr>
              <w:t>了解内审结论是什么？内审发现</w:t>
            </w:r>
            <w:r>
              <w:rPr>
                <w:rFonts w:ascii="宋体" w:hAnsi="宋体"/>
                <w:b/>
                <w:color w:val="000000"/>
                <w:sz w:val="20"/>
                <w:szCs w:val="20"/>
              </w:rPr>
              <w:t>3</w:t>
            </w:r>
            <w:r>
              <w:rPr>
                <w:rFonts w:hint="eastAsia" w:ascii="宋体" w:hAnsi="宋体"/>
                <w:b/>
                <w:color w:val="000000"/>
                <w:sz w:val="20"/>
                <w:szCs w:val="20"/>
              </w:rPr>
              <w:t>个不符合项；已采取改进措施；审核结果为管体系运行适宜、充分和有效。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vAlign w:val="top"/>
          </w:tcPr>
          <w:p>
            <w:pPr>
              <w:spacing w:line="260" w:lineRule="exact"/>
              <w:rPr>
                <w:rFonts w:asci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hint="eastAsia" w:ascii="宋体" w:hAnsi="宋体"/>
                <w:b/>
                <w:color w:val="000000"/>
                <w:sz w:val="20"/>
                <w:szCs w:val="20"/>
              </w:rPr>
              <w:t>编制管理评审计划；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vAlign w:val="top"/>
          </w:tcPr>
          <w:p>
            <w:pPr>
              <w:spacing w:line="260" w:lineRule="exact"/>
              <w:rPr>
                <w:rFonts w:ascii="宋体"/>
                <w:b/>
                <w:color w:val="000000"/>
                <w:sz w:val="20"/>
                <w:szCs w:val="20"/>
              </w:rPr>
            </w:pPr>
          </w:p>
        </w:tc>
        <w:tc>
          <w:tcPr>
            <w:tcW w:w="8221" w:type="dxa"/>
            <w:vAlign w:val="top"/>
          </w:tcPr>
          <w:p>
            <w:pPr>
              <w:spacing w:line="260" w:lineRule="exact"/>
              <w:rPr>
                <w:rFonts w:ascii="宋体"/>
                <w:b/>
                <w:color w:val="000000"/>
                <w:sz w:val="20"/>
                <w:szCs w:val="20"/>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b/>
                <w:color w:val="000000"/>
                <w:sz w:val="20"/>
                <w:szCs w:val="20"/>
              </w:rPr>
              <w:t>输入信息主要体现在各部门的总结报告及内审结果；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vAlign w:val="top"/>
          </w:tcPr>
          <w:p>
            <w:pPr>
              <w:spacing w:line="260" w:lineRule="exact"/>
              <w:rPr>
                <w:rFonts w:ascii="宋体"/>
                <w:b/>
                <w:color w:val="000000"/>
                <w:sz w:val="20"/>
                <w:szCs w:val="20"/>
              </w:rPr>
            </w:pPr>
          </w:p>
        </w:tc>
        <w:tc>
          <w:tcPr>
            <w:tcW w:w="8221" w:type="dxa"/>
            <w:vAlign w:val="top"/>
          </w:tcPr>
          <w:p>
            <w:pPr>
              <w:spacing w:line="260" w:lineRule="exact"/>
              <w:rPr>
                <w:rFonts w:asci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ascii="宋体" w:hAnsi="宋体"/>
                <w:b/>
                <w:color w:val="000000"/>
                <w:sz w:val="20"/>
                <w:szCs w:val="20"/>
              </w:rPr>
              <w:t>编制管理评审报告，提出三项改进建议；评审结论为基本有效充分和适宜；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9497" w:type="dxa"/>
            <w:gridSpan w:val="2"/>
            <w:vAlign w:val="top"/>
          </w:tcPr>
          <w:p>
            <w:pPr>
              <w:widowControl/>
              <w:jc w:val="left"/>
              <w:rPr>
                <w:rFonts w:ascii="宋体"/>
                <w:b/>
                <w:color w:val="000000"/>
                <w:sz w:val="20"/>
                <w:szCs w:val="20"/>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p>
          <w:p>
            <w:pPr>
              <w:widowControl/>
              <w:jc w:val="left"/>
              <w:rPr>
                <w:rFonts w:ascii="宋体"/>
                <w:b/>
                <w:color w:val="000000"/>
                <w:szCs w:val="21"/>
              </w:rPr>
            </w:pPr>
          </w:p>
        </w:tc>
      </w:tr>
    </w:tbl>
    <w:p>
      <w:pPr>
        <w:spacing w:before="156"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widowControl/>
        <w:jc w:val="lef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7"/>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rPr>
              <w:sym w:font="Wingdings 2" w:char="0052"/>
            </w:r>
            <w:r>
              <w:rPr>
                <w:rFonts w:ascii="宋体" w:hAnsi="宋体"/>
                <w:b/>
                <w:color w:val="000000"/>
                <w:sz w:val="20"/>
                <w:szCs w:val="20"/>
              </w:rPr>
              <w:t>QMS /</w:t>
            </w:r>
            <w:r>
              <w:rPr>
                <w:rFonts w:hint="eastAsia" w:ascii="宋体" w:hAnsi="宋体"/>
                <w:b/>
                <w:color w:val="000000"/>
                <w:spacing w:val="-10"/>
                <w:sz w:val="20"/>
                <w:szCs w:val="20"/>
                <w:lang w:val="de-DE"/>
              </w:rPr>
              <w:sym w:font="Wingdings 2" w:char="0052"/>
            </w:r>
            <w:r>
              <w:rPr>
                <w:rFonts w:ascii="宋体" w:hAnsi="宋体"/>
                <w:b/>
                <w:color w:val="000000"/>
                <w:sz w:val="20"/>
                <w:szCs w:val="20"/>
              </w:rPr>
              <w:t>EMS/</w:t>
            </w:r>
            <w:r>
              <w:rPr>
                <w:rFonts w:hint="eastAsia" w:ascii="宋体" w:hAnsi="宋体"/>
                <w:b/>
                <w:color w:val="000000"/>
                <w:spacing w:val="-10"/>
                <w:sz w:val="20"/>
                <w:szCs w:val="20"/>
                <w:lang w:val="de-DE"/>
              </w:rPr>
              <w:sym w:font="Wingdings 2" w:char="0052"/>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rPr>
              <w:sym w:font="Wingdings 2" w:char="0052"/>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sym w:font="Wingdings 2" w:char="0052"/>
      </w: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line="300" w:lineRule="auto"/>
        <w:ind w:firstLine="201" w:firstLineChars="100"/>
        <w:rPr>
          <w:rFonts w:ascii="宋体"/>
          <w:b/>
          <w:color w:val="000000"/>
          <w:sz w:val="20"/>
          <w:szCs w:val="20"/>
        </w:rPr>
      </w:pPr>
      <w:r>
        <w:rPr>
          <w:rFonts w:ascii="宋体" w:hAnsi="宋体"/>
          <w:b/>
          <w:color w:val="000000"/>
          <w:sz w:val="20"/>
          <w:szCs w:val="20"/>
        </w:rPr>
        <w:t>QMS:___________________________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pPr>
        <w:spacing w:line="300" w:lineRule="auto"/>
        <w:ind w:firstLine="201"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pPr>
        <w:spacing w:line="300" w:lineRule="auto"/>
        <w:ind w:firstLine="201"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_____________________________________</w:t>
      </w:r>
      <w:r>
        <w:rPr>
          <w:rFonts w:ascii="宋体" w:hAnsi="宋体"/>
          <w:b/>
          <w:color w:val="000000"/>
          <w:sz w:val="20"/>
          <w:szCs w:val="20"/>
          <w:u w:val="single"/>
        </w:rPr>
        <w:t>___</w:t>
      </w:r>
    </w:p>
    <w:p>
      <w:pPr>
        <w:spacing w:before="156" w:beforeLines="50" w:after="62" w:afterLines="20" w:line="360" w:lineRule="exact"/>
        <w:ind w:firstLine="240" w:firstLineChars="100"/>
        <w:rPr>
          <w:rFonts w:ascii="宋体"/>
          <w:b/>
          <w:bCs/>
          <w:color w:val="000000"/>
          <w:sz w:val="26"/>
          <w:szCs w:val="26"/>
        </w:rPr>
      </w:pPr>
      <w:r>
        <w:rPr>
          <w:rFonts w:ascii="宋体" w:hAnsi="宋体"/>
          <w:kern w:val="2"/>
          <w:sz w:val="24"/>
          <w:lang w:val="en-US" w:eastAsia="zh-CN" w:bidi="ar-SA"/>
        </w:rPr>
        <w:drawing>
          <wp:anchor distT="0" distB="0" distL="114300" distR="114300" simplePos="0" relativeHeight="251661312" behindDoc="1" locked="0" layoutInCell="1" allowOverlap="1">
            <wp:simplePos x="0" y="0"/>
            <wp:positionH relativeFrom="column">
              <wp:posOffset>1784350</wp:posOffset>
            </wp:positionH>
            <wp:positionV relativeFrom="paragraph">
              <wp:posOffset>224790</wp:posOffset>
            </wp:positionV>
            <wp:extent cx="711200" cy="514350"/>
            <wp:effectExtent l="0" t="0" r="5080" b="3810"/>
            <wp:wrapNone/>
            <wp:docPr id="1" name="图片 1" descr="林兵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林兵签名"/>
                    <pic:cNvPicPr>
                      <a:picLocks noChangeAspect="1"/>
                    </pic:cNvPicPr>
                  </pic:nvPicPr>
                  <pic:blipFill>
                    <a:blip r:embed="rId6">
                      <a:lum contrast="6000"/>
                    </a:blip>
                    <a:stretch>
                      <a:fillRect/>
                    </a:stretch>
                  </pic:blipFill>
                  <pic:spPr>
                    <a:xfrm>
                      <a:off x="0" y="0"/>
                      <a:ext cx="711200" cy="514350"/>
                    </a:xfrm>
                    <a:prstGeom prst="rect">
                      <a:avLst/>
                    </a:prstGeom>
                    <a:noFill/>
                    <a:ln>
                      <a:noFill/>
                    </a:ln>
                  </pic:spPr>
                </pic:pic>
              </a:graphicData>
            </a:graphic>
          </wp:anchor>
        </w:drawing>
      </w: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80" w:firstLineChars="400"/>
        <w:rPr>
          <w:rFonts w:ascii="宋体"/>
          <w:b/>
          <w:color w:val="000000"/>
        </w:rPr>
      </w:pPr>
      <w:r>
        <w:rPr>
          <w:rFonts w:hint="default" w:eastAsia="宋体"/>
          <w:sz w:val="22"/>
          <w:szCs w:val="22"/>
          <w:lang w:val="en-US" w:eastAsia="zh-CN"/>
        </w:rPr>
        <w:drawing>
          <wp:anchor distT="0" distB="0" distL="114300" distR="114300" simplePos="0" relativeHeight="251669504" behindDoc="1" locked="0" layoutInCell="1" allowOverlap="1">
            <wp:simplePos x="0" y="0"/>
            <wp:positionH relativeFrom="column">
              <wp:posOffset>4459605</wp:posOffset>
            </wp:positionH>
            <wp:positionV relativeFrom="paragraph">
              <wp:posOffset>45085</wp:posOffset>
            </wp:positionV>
            <wp:extent cx="868680" cy="425450"/>
            <wp:effectExtent l="0" t="0" r="0" b="1270"/>
            <wp:wrapNone/>
            <wp:docPr id="5" name="图片 5" descr="程晓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程晓庆"/>
                    <pic:cNvPicPr>
                      <a:picLocks noChangeAspect="1"/>
                    </pic:cNvPicPr>
                  </pic:nvPicPr>
                  <pic:blipFill>
                    <a:blip r:embed="rId7"/>
                    <a:stretch>
                      <a:fillRect/>
                    </a:stretch>
                  </pic:blipFill>
                  <pic:spPr>
                    <a:xfrm>
                      <a:off x="0" y="0"/>
                      <a:ext cx="868680" cy="425450"/>
                    </a:xfrm>
                    <a:prstGeom prst="rect">
                      <a:avLst/>
                    </a:prstGeom>
                  </pic:spPr>
                </pic:pic>
              </a:graphicData>
            </a:graphic>
          </wp:anchor>
        </w:drawing>
      </w:r>
      <w:r>
        <w:rPr>
          <w:rFonts w:hint="default" w:eastAsia="宋体"/>
          <w:sz w:val="22"/>
          <w:szCs w:val="22"/>
          <w:lang w:val="en-US" w:eastAsia="zh-CN"/>
        </w:rPr>
        <w:drawing>
          <wp:anchor distT="0" distB="0" distL="114300" distR="114300" simplePos="0" relativeHeight="251668480" behindDoc="1" locked="0" layoutInCell="1" allowOverlap="1">
            <wp:simplePos x="0" y="0"/>
            <wp:positionH relativeFrom="column">
              <wp:posOffset>3659505</wp:posOffset>
            </wp:positionH>
            <wp:positionV relativeFrom="paragraph">
              <wp:posOffset>36195</wp:posOffset>
            </wp:positionV>
            <wp:extent cx="731520" cy="470535"/>
            <wp:effectExtent l="0" t="0" r="0" b="1905"/>
            <wp:wrapNone/>
            <wp:docPr id="4" name="图片 4" descr="孙太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孙太平"/>
                    <pic:cNvPicPr>
                      <a:picLocks noChangeAspect="1"/>
                    </pic:cNvPicPr>
                  </pic:nvPicPr>
                  <pic:blipFill>
                    <a:blip r:embed="rId8"/>
                    <a:stretch>
                      <a:fillRect/>
                    </a:stretch>
                  </pic:blipFill>
                  <pic:spPr>
                    <a:xfrm>
                      <a:off x="0" y="0"/>
                      <a:ext cx="731520" cy="470535"/>
                    </a:xfrm>
                    <a:prstGeom prst="rect">
                      <a:avLst/>
                    </a:prstGeom>
                  </pic:spPr>
                </pic:pic>
              </a:graphicData>
            </a:graphic>
          </wp:anchor>
        </w:drawing>
      </w:r>
      <w:r>
        <w:rPr>
          <w:rFonts w:hint="default" w:eastAsia="宋体"/>
          <w:sz w:val="22"/>
          <w:szCs w:val="22"/>
          <w:lang w:val="en-US" w:eastAsia="zh-CN"/>
        </w:rPr>
        <w:drawing>
          <wp:anchor distT="0" distB="0" distL="114300" distR="114300" simplePos="0" relativeHeight="251667456" behindDoc="1" locked="0" layoutInCell="1" allowOverlap="1">
            <wp:simplePos x="0" y="0"/>
            <wp:positionH relativeFrom="column">
              <wp:posOffset>2839085</wp:posOffset>
            </wp:positionH>
            <wp:positionV relativeFrom="paragraph">
              <wp:posOffset>71755</wp:posOffset>
            </wp:positionV>
            <wp:extent cx="822960" cy="407035"/>
            <wp:effectExtent l="0" t="0" r="0" b="4445"/>
            <wp:wrapNone/>
            <wp:docPr id="3" name="图片 3" descr="王央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王央央"/>
                    <pic:cNvPicPr>
                      <a:picLocks noChangeAspect="1"/>
                    </pic:cNvPicPr>
                  </pic:nvPicPr>
                  <pic:blipFill>
                    <a:blip r:embed="rId9"/>
                    <a:stretch>
                      <a:fillRect/>
                    </a:stretch>
                  </pic:blipFill>
                  <pic:spPr>
                    <a:xfrm>
                      <a:off x="0" y="0"/>
                      <a:ext cx="822960" cy="407035"/>
                    </a:xfrm>
                    <a:prstGeom prst="rect">
                      <a:avLst/>
                    </a:prstGeom>
                  </pic:spPr>
                </pic:pic>
              </a:graphicData>
            </a:graphic>
          </wp:anchor>
        </w:drawing>
      </w:r>
      <w:r>
        <w:rPr>
          <w:rFonts w:ascii="宋体" w:hAnsi="宋体"/>
          <w:kern w:val="2"/>
          <w:sz w:val="24"/>
          <w:lang w:val="en-US" w:eastAsia="zh-CN" w:bidi="ar-SA"/>
        </w:rPr>
        <w:drawing>
          <wp:anchor distT="0" distB="0" distL="114300" distR="114300" simplePos="0" relativeHeight="251666432" behindDoc="1" locked="0" layoutInCell="1" allowOverlap="1">
            <wp:simplePos x="0" y="0"/>
            <wp:positionH relativeFrom="column">
              <wp:posOffset>1986280</wp:posOffset>
            </wp:positionH>
            <wp:positionV relativeFrom="paragraph">
              <wp:posOffset>92710</wp:posOffset>
            </wp:positionV>
            <wp:extent cx="818515" cy="413385"/>
            <wp:effectExtent l="0" t="0" r="4445" b="13335"/>
            <wp:wrapNone/>
            <wp:docPr id="6" name="图片 3" descr="任泽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descr="任泽华"/>
                    <pic:cNvPicPr>
                      <a:picLocks noChangeAspect="1"/>
                    </pic:cNvPicPr>
                  </pic:nvPicPr>
                  <pic:blipFill>
                    <a:blip r:embed="rId10"/>
                    <a:stretch>
                      <a:fillRect/>
                    </a:stretch>
                  </pic:blipFill>
                  <pic:spPr>
                    <a:xfrm>
                      <a:off x="0" y="0"/>
                      <a:ext cx="818515" cy="413385"/>
                    </a:xfrm>
                    <a:prstGeom prst="rect">
                      <a:avLst/>
                    </a:prstGeom>
                    <a:noFill/>
                    <a:ln>
                      <a:noFill/>
                    </a:ln>
                  </pic:spPr>
                </pic:pic>
              </a:graphicData>
            </a:graphic>
          </wp:anchor>
        </w:drawing>
      </w: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hint="default" w:ascii="宋体" w:eastAsia="宋体"/>
          <w:b/>
          <w:color w:val="000000"/>
          <w:sz w:val="26"/>
          <w:szCs w:val="26"/>
          <w:lang w:val="en-US" w:eastAsia="zh-CN"/>
        </w:rPr>
      </w:pPr>
      <w:r>
        <w:rPr>
          <w:rFonts w:hint="eastAsia" w:ascii="宋体" w:hAnsi="宋体"/>
          <w:b/>
          <w:color w:val="000000"/>
        </w:rPr>
        <w:t>日期</w:t>
      </w:r>
      <w:r>
        <w:rPr>
          <w:rFonts w:ascii="宋体" w:hAnsi="宋体"/>
          <w:b/>
          <w:color w:val="000000"/>
        </w:rPr>
        <w:t xml:space="preserve">:  </w:t>
      </w:r>
      <w:r>
        <w:rPr>
          <w:rFonts w:hint="eastAsia" w:ascii="宋体" w:hAnsi="宋体"/>
          <w:b/>
          <w:color w:val="000000"/>
          <w:lang w:val="en-US" w:eastAsia="zh-CN"/>
        </w:rPr>
        <w:t>2020-12-28</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5"/>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5"/>
        <w:pBdr>
          <w:bottom w:val="none" w:color="auto" w:sz="0" w:space="0"/>
        </w:pBdr>
        <w:ind w:right="600"/>
        <w:jc w:val="both"/>
        <w:rPr>
          <w:rFonts w:eastAsia="隶书"/>
          <w:color w:val="000000"/>
          <w:sz w:val="28"/>
          <w:szCs w:val="28"/>
        </w:rPr>
      </w:pPr>
      <w:r>
        <w:rPr>
          <w:rFonts w:hint="eastAsia" w:eastAsia="隶书"/>
          <w:color w:val="000000"/>
          <w:sz w:val="28"/>
          <w:szCs w:val="28"/>
        </w:rPr>
        <w:t>受审核方：</w:t>
      </w:r>
    </w:p>
    <w:tbl>
      <w:tblPr>
        <w:tblStyle w:val="7"/>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rPr>
        <w:tc>
          <w:tcPr>
            <w:tcW w:w="948" w:type="dxa"/>
            <w:vAlign w:val="top"/>
          </w:tcPr>
          <w:p>
            <w:pPr>
              <w:spacing w:before="40" w:after="40"/>
              <w:rPr>
                <w:rFonts w:hint="eastAsia" w:ascii="宋体" w:eastAsia="宋体"/>
                <w:color w:val="000000"/>
                <w:sz w:val="24"/>
                <w:szCs w:val="24"/>
                <w:lang w:val="en-US" w:eastAsia="zh-CN"/>
              </w:rPr>
            </w:pPr>
            <w:r>
              <w:rPr>
                <w:rFonts w:hint="eastAsia" w:ascii="宋体" w:hAnsi="宋体"/>
                <w:sz w:val="21"/>
                <w:lang w:val="en-US" w:eastAsia="zh-CN"/>
              </w:rPr>
              <w:t>1</w:t>
            </w:r>
          </w:p>
        </w:tc>
        <w:tc>
          <w:tcPr>
            <w:tcW w:w="5681" w:type="dxa"/>
            <w:vAlign w:val="top"/>
          </w:tcPr>
          <w:p>
            <w:pPr>
              <w:spacing w:before="40" w:after="40"/>
              <w:rPr>
                <w:color w:val="000000"/>
                <w:sz w:val="24"/>
                <w:szCs w:val="24"/>
              </w:rPr>
            </w:pPr>
            <w:r>
              <w:rPr>
                <w:rFonts w:hint="eastAsia" w:ascii="宋体" w:hAnsi="宋体"/>
                <w:sz w:val="21"/>
                <w:lang w:val="en-US" w:eastAsia="zh-CN"/>
              </w:rPr>
              <w:t xml:space="preserve">封面及内容，仅写了ISO45001; 未写国家标准GB/T45001; </w:t>
            </w:r>
          </w:p>
        </w:tc>
        <w:tc>
          <w:tcPr>
            <w:tcW w:w="1688" w:type="dxa"/>
            <w:vAlign w:val="top"/>
          </w:tcPr>
          <w:p>
            <w:pPr>
              <w:spacing w:before="40" w:after="40"/>
              <w:rPr>
                <w:color w:val="000000"/>
                <w:sz w:val="32"/>
                <w:szCs w:val="32"/>
              </w:rPr>
            </w:pPr>
          </w:p>
        </w:tc>
        <w:tc>
          <w:tcPr>
            <w:tcW w:w="1811" w:type="dxa"/>
            <w:vAlign w:val="top"/>
          </w:tcPr>
          <w:p>
            <w:pPr>
              <w:spacing w:before="40" w:after="40"/>
              <w:rPr>
                <w:color w:val="000000"/>
                <w:sz w:val="32"/>
                <w:szCs w:val="32"/>
              </w:rPr>
            </w:pPr>
            <w:r>
              <w:rPr>
                <w:rFonts w:hint="eastAsia" w:ascii="宋体" w:hAnsi="宋体"/>
                <w:sz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948" w:type="dxa"/>
            <w:vAlign w:val="top"/>
          </w:tcPr>
          <w:p>
            <w:pPr>
              <w:spacing w:before="40" w:after="40"/>
              <w:rPr>
                <w:rFonts w:ascii="宋体"/>
                <w:color w:val="000000"/>
                <w:sz w:val="24"/>
                <w:szCs w:val="24"/>
              </w:rPr>
            </w:pPr>
            <w:r>
              <w:rPr>
                <w:rFonts w:hint="eastAsia" w:ascii="宋体" w:hAnsi="宋体"/>
                <w:sz w:val="21"/>
                <w:lang w:val="en-US" w:eastAsia="zh-CN"/>
              </w:rPr>
              <w:t>2</w:t>
            </w:r>
          </w:p>
        </w:tc>
        <w:tc>
          <w:tcPr>
            <w:tcW w:w="5681" w:type="dxa"/>
            <w:vAlign w:val="top"/>
          </w:tcPr>
          <w:p>
            <w:pPr>
              <w:spacing w:before="40" w:after="40"/>
              <w:rPr>
                <w:color w:val="000000"/>
                <w:sz w:val="24"/>
                <w:szCs w:val="24"/>
              </w:rPr>
            </w:pPr>
            <w:r>
              <w:rPr>
                <w:rFonts w:hint="eastAsia" w:ascii="宋体" w:hAnsi="宋体"/>
                <w:sz w:val="21"/>
                <w:lang w:val="en-US" w:eastAsia="zh-CN"/>
              </w:rPr>
              <w:t>管理手册4.3未说明有无外包过程。</w:t>
            </w:r>
          </w:p>
        </w:tc>
        <w:tc>
          <w:tcPr>
            <w:tcW w:w="1688" w:type="dxa"/>
            <w:vAlign w:val="top"/>
          </w:tcPr>
          <w:p>
            <w:pPr>
              <w:spacing w:before="40" w:after="40"/>
              <w:rPr>
                <w:color w:val="000000"/>
                <w:sz w:val="32"/>
                <w:szCs w:val="32"/>
              </w:rPr>
            </w:pPr>
          </w:p>
        </w:tc>
        <w:tc>
          <w:tcPr>
            <w:tcW w:w="1811" w:type="dxa"/>
            <w:vAlign w:val="top"/>
          </w:tcPr>
          <w:p>
            <w:pPr>
              <w:spacing w:before="40" w:after="40"/>
              <w:rPr>
                <w:color w:val="000000"/>
                <w:sz w:val="32"/>
                <w:szCs w:val="32"/>
              </w:rPr>
            </w:pPr>
            <w:r>
              <w:rPr>
                <w:rFonts w:hint="eastAsia" w:ascii="宋体" w:hAnsi="宋体"/>
                <w:sz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trPr>
        <w:tc>
          <w:tcPr>
            <w:tcW w:w="948" w:type="dxa"/>
            <w:vAlign w:val="top"/>
          </w:tcPr>
          <w:p>
            <w:pPr>
              <w:spacing w:before="40" w:after="40"/>
              <w:rPr>
                <w:rFonts w:ascii="宋体"/>
                <w:color w:val="000000"/>
                <w:sz w:val="24"/>
                <w:szCs w:val="24"/>
              </w:rPr>
            </w:pPr>
            <w:r>
              <w:rPr>
                <w:rFonts w:hint="eastAsia" w:ascii="宋体" w:hAnsi="宋体"/>
                <w:sz w:val="21"/>
                <w:lang w:val="en-US" w:eastAsia="zh-CN"/>
              </w:rPr>
              <w:t>3</w:t>
            </w:r>
          </w:p>
        </w:tc>
        <w:tc>
          <w:tcPr>
            <w:tcW w:w="5681" w:type="dxa"/>
            <w:vAlign w:val="top"/>
          </w:tcPr>
          <w:p>
            <w:pPr>
              <w:spacing w:before="40" w:after="40"/>
              <w:rPr>
                <w:color w:val="000000"/>
                <w:sz w:val="24"/>
                <w:szCs w:val="24"/>
              </w:rPr>
            </w:pPr>
            <w:r>
              <w:rPr>
                <w:rFonts w:hint="eastAsia" w:ascii="宋体" w:hAnsi="宋体"/>
                <w:sz w:val="21"/>
                <w:lang w:val="en-US" w:eastAsia="zh-CN"/>
              </w:rPr>
              <w:t>附件2中，QEO条款职能分配表合并说明，有条款重复；建议适用时标注体系条款；</w:t>
            </w:r>
          </w:p>
        </w:tc>
        <w:tc>
          <w:tcPr>
            <w:tcW w:w="1688" w:type="dxa"/>
            <w:vAlign w:val="top"/>
          </w:tcPr>
          <w:p>
            <w:pPr>
              <w:spacing w:before="40" w:after="40"/>
              <w:rPr>
                <w:color w:val="000000"/>
                <w:sz w:val="32"/>
                <w:szCs w:val="32"/>
              </w:rPr>
            </w:pPr>
          </w:p>
        </w:tc>
        <w:tc>
          <w:tcPr>
            <w:tcW w:w="1811" w:type="dxa"/>
            <w:vAlign w:val="top"/>
          </w:tcPr>
          <w:p>
            <w:pPr>
              <w:spacing w:before="40" w:after="40"/>
              <w:rPr>
                <w:color w:val="000000"/>
                <w:sz w:val="32"/>
                <w:szCs w:val="32"/>
              </w:rPr>
            </w:pPr>
            <w:r>
              <w:rPr>
                <w:rFonts w:hint="eastAsia" w:ascii="宋体" w:hAnsi="宋体"/>
                <w:sz w:val="21"/>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sym w:font="Wingdings 2" w:char="0052"/>
            </w:r>
            <w:r>
              <w:rPr>
                <w:rFonts w:hint="eastAsia"/>
                <w:b/>
                <w:color w:val="000000"/>
                <w:spacing w:val="-10"/>
                <w:szCs w:val="21"/>
              </w:rPr>
              <w:t>二阶段现场审核前不需提交书面材料的整改项（第项，共项）</w:t>
            </w:r>
          </w:p>
          <w:p>
            <w:pPr>
              <w:spacing w:line="280" w:lineRule="exact"/>
              <w:rPr>
                <w:rFonts w:hint="default" w:eastAsia="宋体"/>
                <w:b/>
                <w:color w:val="000000"/>
                <w:sz w:val="22"/>
                <w:szCs w:val="22"/>
                <w:lang w:val="en-US" w:eastAsia="zh-CN"/>
              </w:rPr>
            </w:pPr>
            <w:r>
              <w:rPr>
                <w:rFonts w:hint="eastAsia"/>
                <w:b/>
                <w:color w:val="000000"/>
                <w:sz w:val="22"/>
                <w:szCs w:val="22"/>
              </w:rPr>
              <w:t>审核员：</w:t>
            </w:r>
            <w:r>
              <w:rPr>
                <w:rFonts w:hint="eastAsia"/>
                <w:b/>
                <w:color w:val="000000"/>
                <w:sz w:val="22"/>
                <w:szCs w:val="22"/>
                <w:lang w:val="en-US" w:eastAsia="zh-CN"/>
              </w:rPr>
              <w:t>林兵</w:t>
            </w:r>
          </w:p>
          <w:p>
            <w:pPr>
              <w:spacing w:line="280" w:lineRule="exact"/>
              <w:rPr>
                <w:b/>
                <w:color w:val="000000"/>
                <w:sz w:val="22"/>
                <w:szCs w:val="22"/>
              </w:rPr>
            </w:pPr>
            <w:r>
              <w:rPr>
                <w:rFonts w:hint="eastAsia"/>
                <w:b/>
                <w:color w:val="000000"/>
                <w:sz w:val="22"/>
                <w:szCs w:val="22"/>
              </w:rPr>
              <w:t xml:space="preserve">日期： </w:t>
            </w:r>
            <w:r>
              <w:rPr>
                <w:rFonts w:hint="eastAsia"/>
                <w:b/>
                <w:color w:val="000000"/>
                <w:sz w:val="22"/>
                <w:szCs w:val="22"/>
                <w:lang w:val="en-US" w:eastAsia="zh-CN"/>
              </w:rPr>
              <w:t>2020</w:t>
            </w:r>
            <w:r>
              <w:rPr>
                <w:rFonts w:hint="eastAsia"/>
                <w:b/>
                <w:color w:val="000000"/>
                <w:sz w:val="22"/>
                <w:szCs w:val="22"/>
              </w:rPr>
              <w:t>年</w:t>
            </w:r>
            <w:r>
              <w:rPr>
                <w:rFonts w:hint="eastAsia"/>
                <w:b/>
                <w:color w:val="000000"/>
                <w:sz w:val="22"/>
                <w:szCs w:val="22"/>
                <w:lang w:val="en-US" w:eastAsia="zh-CN"/>
              </w:rPr>
              <w:t>12</w:t>
            </w:r>
            <w:r>
              <w:rPr>
                <w:rFonts w:hint="eastAsia"/>
                <w:b/>
                <w:color w:val="000000"/>
                <w:sz w:val="22"/>
                <w:szCs w:val="22"/>
              </w:rPr>
              <w:t>月</w:t>
            </w:r>
            <w:r>
              <w:rPr>
                <w:rFonts w:hint="eastAsia"/>
                <w:b/>
                <w:color w:val="000000"/>
                <w:sz w:val="22"/>
                <w:szCs w:val="22"/>
                <w:lang w:val="en-US" w:eastAsia="zh-CN"/>
              </w:rPr>
              <w:t>28</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受审核方确认：</w:t>
            </w:r>
            <w:r>
              <w:rPr>
                <w:rFonts w:hint="eastAsia"/>
                <w:b/>
                <w:color w:val="000000"/>
                <w:sz w:val="22"/>
                <w:szCs w:val="22"/>
                <w:lang w:val="en-US" w:eastAsia="zh-CN"/>
              </w:rPr>
              <w:t>严剑江</w:t>
            </w:r>
            <w:r>
              <w:rPr>
                <w:rFonts w:hint="eastAsia"/>
                <w:b/>
                <w:color w:val="000000"/>
                <w:sz w:val="22"/>
                <w:szCs w:val="22"/>
              </w:rPr>
              <w:t xml:space="preserve"> </w:t>
            </w:r>
            <w:r>
              <w:rPr>
                <w:rFonts w:hint="eastAsia"/>
                <w:b/>
                <w:color w:val="000000"/>
                <w:sz w:val="22"/>
                <w:szCs w:val="22"/>
                <w:lang w:val="en-US" w:eastAsia="zh-CN"/>
              </w:rPr>
              <w:t xml:space="preserve">   </w:t>
            </w:r>
            <w:r>
              <w:rPr>
                <w:rFonts w:hint="eastAsia"/>
                <w:b/>
                <w:color w:val="000000"/>
                <w:sz w:val="22"/>
                <w:szCs w:val="22"/>
              </w:rPr>
              <w:t>日期：</w:t>
            </w:r>
            <w:r>
              <w:rPr>
                <w:rFonts w:hint="eastAsia"/>
                <w:b/>
                <w:color w:val="000000"/>
                <w:sz w:val="22"/>
                <w:szCs w:val="22"/>
                <w:lang w:val="en-US" w:eastAsia="zh-CN"/>
              </w:rPr>
              <w:t>2020</w:t>
            </w:r>
            <w:r>
              <w:rPr>
                <w:rFonts w:hint="eastAsia"/>
                <w:b/>
                <w:color w:val="000000"/>
                <w:sz w:val="22"/>
                <w:szCs w:val="22"/>
              </w:rPr>
              <w:t>年</w:t>
            </w:r>
            <w:r>
              <w:rPr>
                <w:rFonts w:hint="eastAsia"/>
                <w:b/>
                <w:color w:val="000000"/>
                <w:sz w:val="22"/>
                <w:szCs w:val="22"/>
                <w:lang w:val="en-US" w:eastAsia="zh-CN"/>
              </w:rPr>
              <w:t>12</w:t>
            </w:r>
            <w:r>
              <w:rPr>
                <w:rFonts w:hint="eastAsia"/>
                <w:b/>
                <w:color w:val="000000"/>
                <w:sz w:val="22"/>
                <w:szCs w:val="22"/>
              </w:rPr>
              <w:t>月</w:t>
            </w:r>
            <w:r>
              <w:rPr>
                <w:rFonts w:hint="eastAsia"/>
                <w:b/>
                <w:color w:val="000000"/>
                <w:sz w:val="22"/>
                <w:szCs w:val="22"/>
                <w:lang w:val="en-US" w:eastAsia="zh-CN"/>
              </w:rPr>
              <w:t>28</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w:t>
            </w:r>
            <w:r>
              <w:rPr>
                <w:rFonts w:hint="eastAsia"/>
                <w:b/>
                <w:color w:val="000000"/>
                <w:spacing w:val="-10"/>
                <w:szCs w:val="21"/>
              </w:rPr>
              <w:sym w:font="Wingdings 2" w:char="0052"/>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b/>
                <w:color w:val="000000"/>
                <w:sz w:val="22"/>
                <w:szCs w:val="22"/>
              </w:rPr>
            </w:pPr>
            <w:r>
              <w:rPr>
                <w:rFonts w:hint="eastAsia"/>
                <w:b/>
                <w:color w:val="000000"/>
                <w:sz w:val="22"/>
                <w:szCs w:val="22"/>
              </w:rPr>
              <w:t>验证人：</w:t>
            </w:r>
            <w:r>
              <w:rPr>
                <w:rFonts w:hint="eastAsia"/>
                <w:b/>
                <w:color w:val="000000"/>
                <w:sz w:val="22"/>
                <w:szCs w:val="22"/>
                <w:lang w:val="en-US" w:eastAsia="zh-CN"/>
              </w:rPr>
              <w:t xml:space="preserve">  林兵                 </w:t>
            </w:r>
            <w:r>
              <w:rPr>
                <w:rFonts w:hint="eastAsia"/>
                <w:b/>
                <w:color w:val="000000"/>
                <w:sz w:val="22"/>
                <w:szCs w:val="22"/>
              </w:rPr>
              <w:t>日期：</w:t>
            </w:r>
            <w:r>
              <w:rPr>
                <w:rFonts w:hint="eastAsia"/>
                <w:b/>
                <w:color w:val="000000"/>
                <w:sz w:val="22"/>
                <w:szCs w:val="22"/>
                <w:lang w:val="en-US" w:eastAsia="zh-CN"/>
              </w:rPr>
              <w:t>2020</w:t>
            </w:r>
            <w:r>
              <w:rPr>
                <w:rFonts w:hint="eastAsia"/>
                <w:b/>
                <w:color w:val="000000"/>
                <w:sz w:val="22"/>
                <w:szCs w:val="22"/>
              </w:rPr>
              <w:t>年</w:t>
            </w:r>
            <w:r>
              <w:rPr>
                <w:rFonts w:hint="eastAsia"/>
                <w:b/>
                <w:color w:val="000000"/>
                <w:sz w:val="22"/>
                <w:szCs w:val="22"/>
                <w:lang w:val="en-US" w:eastAsia="zh-CN"/>
              </w:rPr>
              <w:t>12</w:t>
            </w:r>
            <w:r>
              <w:rPr>
                <w:rFonts w:hint="eastAsia"/>
                <w:b/>
                <w:color w:val="000000"/>
                <w:sz w:val="22"/>
                <w:szCs w:val="22"/>
              </w:rPr>
              <w:t>月</w:t>
            </w:r>
            <w:r>
              <w:rPr>
                <w:rFonts w:hint="eastAsia"/>
                <w:b/>
                <w:color w:val="000000"/>
                <w:sz w:val="22"/>
                <w:szCs w:val="22"/>
                <w:lang w:val="en-US" w:eastAsia="zh-CN"/>
              </w:rPr>
              <w:t>28</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5"/>
      <w:pBdr>
        <w:bottom w:val="none" w:color="auto" w:sz="0" w:space="0"/>
      </w:pBdr>
      <w:spacing w:line="320" w:lineRule="exact"/>
      <w:ind w:firstLine="720" w:firstLineChars="400"/>
      <w:jc w:val="left"/>
    </w:pPr>
    <w:r>
      <w:pict>
        <v:shape id="文本框 1" o:spid="_x0000_s2050" o:spt="202" type="#_x0000_t202" style="position:absolute;left:0pt;margin-left:345.5pt;margin-top:2.2pt;height:20.2pt;width:156.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4"/>
        <w:rFonts w:hint="default"/>
        <w:w w:val="90"/>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3B52B01"/>
    <w:rsid w:val="295A69BC"/>
    <w:rsid w:val="34456A84"/>
    <w:rsid w:val="5774791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locked/>
    <w:uiPriority w:val="0"/>
    <w:pPr>
      <w:autoSpaceDE w:val="0"/>
      <w:autoSpaceDN w:val="0"/>
      <w:adjustRightInd w:val="0"/>
      <w:jc w:val="center"/>
      <w:outlineLvl w:val="0"/>
    </w:pPr>
    <w:rPr>
      <w:color w:val="FFFF00"/>
      <w:kern w:val="0"/>
      <w:sz w:val="44"/>
      <w:szCs w:val="20"/>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Balloon Text"/>
    <w:basedOn w:val="1"/>
    <w:link w:val="10"/>
    <w:semiHidden/>
    <w:qFormat/>
    <w:uiPriority w:val="99"/>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6">
    <w:name w:val="Subtitle"/>
    <w:basedOn w:val="1"/>
    <w:next w:val="1"/>
    <w:link w:val="13"/>
    <w:qFormat/>
    <w:uiPriority w:val="99"/>
    <w:pPr>
      <w:spacing w:before="240" w:after="60" w:line="312" w:lineRule="auto"/>
      <w:jc w:val="center"/>
      <w:outlineLvl w:val="1"/>
    </w:pPr>
    <w:rPr>
      <w:rFonts w:ascii="Cambria" w:hAnsi="Cambria"/>
      <w:b/>
      <w:bCs/>
      <w:kern w:val="28"/>
      <w:sz w:val="32"/>
      <w:szCs w:val="32"/>
    </w:rPr>
  </w:style>
  <w:style w:type="table" w:styleId="8">
    <w:name w:val="Table Grid"/>
    <w:basedOn w:val="7"/>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批注框文本 字符"/>
    <w:link w:val="3"/>
    <w:semiHidden/>
    <w:locked/>
    <w:uiPriority w:val="99"/>
    <w:rPr>
      <w:rFonts w:ascii="Times New Roman" w:hAnsi="Times New Roman" w:eastAsia="宋体" w:cs="Times New Roman"/>
      <w:sz w:val="18"/>
      <w:szCs w:val="18"/>
    </w:rPr>
  </w:style>
  <w:style w:type="character" w:customStyle="1" w:styleId="11">
    <w:name w:val="页脚 字符"/>
    <w:link w:val="4"/>
    <w:locked/>
    <w:uiPriority w:val="99"/>
    <w:rPr>
      <w:rFonts w:ascii="Times New Roman" w:hAnsi="Times New Roman" w:eastAsia="宋体" w:cs="Times New Roman"/>
      <w:sz w:val="18"/>
      <w:szCs w:val="18"/>
    </w:rPr>
  </w:style>
  <w:style w:type="character" w:customStyle="1" w:styleId="12">
    <w:name w:val="页眉 字符"/>
    <w:link w:val="5"/>
    <w:locked/>
    <w:uiPriority w:val="99"/>
    <w:rPr>
      <w:rFonts w:ascii="Calibri" w:hAnsi="Calibri" w:eastAsia="宋体" w:cs="Times New Roman"/>
      <w:sz w:val="18"/>
      <w:szCs w:val="18"/>
    </w:rPr>
  </w:style>
  <w:style w:type="character" w:customStyle="1" w:styleId="13">
    <w:name w:val="副标题 字符"/>
    <w:link w:val="6"/>
    <w:locked/>
    <w:uiPriority w:val="99"/>
    <w:rPr>
      <w:rFonts w:ascii="Cambria" w:hAnsi="Cambria" w:eastAsia="宋体" w:cs="Times New Roman"/>
      <w:b/>
      <w:bCs/>
      <w:kern w:val="28"/>
      <w:sz w:val="32"/>
      <w:szCs w:val="32"/>
    </w:r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7.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2</TotalTime>
  <ScaleCrop>false</ScaleCrop>
  <LinksUpToDate>false</LinksUpToDate>
  <CharactersWithSpaces>6844</CharactersWithSpaces>
  <Application>WPS Office_11.1.0.10000_F1E327BC-269C-435d-A152-05C5408002CA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森林</cp:lastModifiedBy>
  <dcterms:modified xsi:type="dcterms:W3CDTF">2020-12-28T07:08:51Z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ies>
</file>