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0660-2020-Q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安康市皓翔节能保温集团有限公司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9"/>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李林</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乔军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12.03.00,14.02.03,16.02.04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安康市皓翔节能保温集团有限公司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陕西省安康市汉滨区五里工业园区</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725000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陕西省安康市汉滨区五里工业园区</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725000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李茂霞</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0915-3913678</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黎阳贵</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黎胜桥</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lolo8866@163.com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2020年1月8日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保温砂浆、保温板、真石漆的生产</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12.03.00;14.02.03;16.02.04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管理手册、程序文件、管理评审、内部审核等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行政部、生产部、技质部、供销部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生产现场及办公室</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7"/>
        <w:pBdr>
          <w:bottom w:val="none" w:color="auto" w:sz="0" w:space="0"/>
        </w:pBdr>
        <w:ind w:right="600"/>
        <w:jc w:val="both"/>
        <w:rPr>
          <w:color w:val="000000"/>
          <w:sz w:val="32"/>
          <w:szCs w:val="32"/>
        </w:rPr>
      </w:pPr>
    </w:p>
    <w:p>
      <w:pPr>
        <w:pStyle w:val="7"/>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9"/>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ascii="宋体" w:hAnsi="宋体"/>
                <w:szCs w:val="21"/>
              </w:rPr>
              <w:t>保温砂浆、保温板、真石漆的生产</w:t>
            </w: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eastAsia="宋体" w:cs="Times New Roman"/>
                <w:b/>
                <w:color w:val="000000"/>
                <w:sz w:val="20"/>
                <w:szCs w:val="20"/>
                <w:lang w:val="en-US" w:eastAsia="zh-CN"/>
              </w:rPr>
              <w:t>行政部、生产部、供销部、技质部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技质部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default" w:ascii="宋体" w:eastAsia="宋体"/>
                <w:b/>
                <w:color w:val="000000"/>
                <w:sz w:val="20"/>
                <w:szCs w:val="20"/>
                <w:lang w:val="en-US" w:eastAsia="zh-CN"/>
              </w:rPr>
            </w:pPr>
            <w:r>
              <w:rPr>
                <w:rFonts w:hint="eastAsia" w:ascii="宋体" w:hAnsi="宋体"/>
                <w:b/>
                <w:color w:val="000000"/>
                <w:sz w:val="20"/>
                <w:szCs w:val="20"/>
              </w:rPr>
              <w:t>客户的场所：</w:t>
            </w:r>
            <w:r>
              <w:rPr>
                <w:rFonts w:hint="eastAsia" w:ascii="宋体" w:hAnsi="宋体"/>
                <w:b/>
                <w:color w:val="000000"/>
                <w:sz w:val="20"/>
                <w:szCs w:val="20"/>
                <w:lang w:val="en-US" w:eastAsia="zh-CN"/>
              </w:rPr>
              <w:t>工业园区内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陕西省安康市汉滨区五里工业园区</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spacing w:line="320" w:lineRule="exact"/>
              <w:jc w:val="left"/>
              <w:rPr>
                <w:rFonts w:hint="eastAsia" w:ascii="宋体" w:hAnsi="宋体" w:cs="宋体"/>
                <w:szCs w:val="21"/>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r>
              <w:rPr>
                <w:rFonts w:hint="eastAsia" w:ascii="宋体" w:hAnsi="宋体" w:cs="宋体"/>
                <w:szCs w:val="21"/>
              </w:rPr>
              <w:t>JG149-2003《膨胀聚苯板薄抹灰外墙保温系统》</w:t>
            </w:r>
          </w:p>
          <w:p>
            <w:pPr>
              <w:spacing w:line="320" w:lineRule="exact"/>
              <w:jc w:val="left"/>
              <w:rPr>
                <w:rFonts w:hint="eastAsia" w:ascii="宋体" w:hAnsi="宋体" w:cs="宋体"/>
                <w:szCs w:val="21"/>
              </w:rPr>
            </w:pPr>
            <w:r>
              <w:rPr>
                <w:rFonts w:hint="eastAsia" w:ascii="宋体" w:hAnsi="宋体" w:cs="宋体"/>
                <w:szCs w:val="21"/>
              </w:rPr>
              <w:t>GB8624-2012《建筑材料及制品燃烧性能分级》</w:t>
            </w:r>
          </w:p>
          <w:p>
            <w:pPr>
              <w:spacing w:line="320" w:lineRule="exact"/>
              <w:jc w:val="left"/>
              <w:rPr>
                <w:rFonts w:hint="eastAsia" w:ascii="宋体" w:hAnsi="宋体" w:cs="宋体"/>
                <w:szCs w:val="21"/>
              </w:rPr>
            </w:pPr>
            <w:r>
              <w:rPr>
                <w:rFonts w:hint="eastAsia" w:ascii="宋体" w:hAnsi="宋体" w:cs="宋体"/>
                <w:szCs w:val="21"/>
              </w:rPr>
              <w:t>GB/T8626-2007《建筑材料可燃性试验方法》</w:t>
            </w:r>
          </w:p>
          <w:p>
            <w:pPr>
              <w:spacing w:line="320" w:lineRule="exact"/>
              <w:jc w:val="left"/>
              <w:rPr>
                <w:rFonts w:hint="eastAsia" w:ascii="宋体" w:hAnsi="宋体" w:cs="宋体"/>
                <w:szCs w:val="21"/>
              </w:rPr>
            </w:pPr>
            <w:r>
              <w:rPr>
                <w:rFonts w:hint="eastAsia" w:ascii="宋体" w:hAnsi="宋体" w:cs="宋体"/>
                <w:szCs w:val="21"/>
              </w:rPr>
              <w:t>GB/T20284-2006《建筑材料或制品的单体燃烧试验》</w:t>
            </w:r>
          </w:p>
          <w:p>
            <w:pPr>
              <w:spacing w:line="320" w:lineRule="exact"/>
              <w:jc w:val="left"/>
              <w:rPr>
                <w:rFonts w:hint="eastAsia" w:ascii="宋体" w:eastAsia="宋体"/>
                <w:color w:val="000000"/>
                <w:spacing w:val="-10"/>
                <w:sz w:val="20"/>
                <w:szCs w:val="20"/>
                <w:lang w:val="en-US" w:eastAsia="zh-CN"/>
              </w:rPr>
            </w:pPr>
            <w:r>
              <w:rPr>
                <w:rFonts w:hint="eastAsia" w:ascii="宋体" w:hAnsi="宋体" w:cs="宋体"/>
                <w:szCs w:val="21"/>
              </w:rPr>
              <w:t>GB/T2406.1-2008《塑料 用氧指数法测定燃烧行为 第1部分：导则》</w:t>
            </w:r>
            <w:r>
              <w:rPr>
                <w:rFonts w:hint="eastAsia" w:ascii="宋体" w:hAnsi="宋体" w:cs="宋体"/>
                <w:szCs w:val="21"/>
                <w:lang w:val="en-US" w:eastAsia="zh-CN"/>
              </w:rPr>
              <w:t>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9"/>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snapToGrid w:val="0"/>
              <w:spacing w:line="280" w:lineRule="exact"/>
              <w:jc w:val="left"/>
              <w:rPr>
                <w:rFonts w:hint="eastAsia"/>
                <w:b/>
                <w:sz w:val="20"/>
                <w:szCs w:val="22"/>
              </w:rPr>
            </w:pPr>
            <w:r>
              <w:rPr>
                <w:rFonts w:hint="eastAsia"/>
                <w:b/>
                <w:sz w:val="20"/>
                <w:szCs w:val="22"/>
              </w:rPr>
              <w:t>保温材料(保温砂浆)工艺：材料准备—配料搅拌—检验—包装—入库。</w:t>
            </w:r>
          </w:p>
          <w:p>
            <w:pPr>
              <w:snapToGrid w:val="0"/>
              <w:spacing w:line="280" w:lineRule="exact"/>
              <w:jc w:val="left"/>
              <w:rPr>
                <w:rFonts w:hint="eastAsia"/>
                <w:b/>
                <w:sz w:val="20"/>
                <w:szCs w:val="22"/>
              </w:rPr>
            </w:pPr>
            <w:r>
              <w:rPr>
                <w:rFonts w:hint="eastAsia"/>
                <w:b/>
                <w:sz w:val="20"/>
                <w:szCs w:val="22"/>
                <w:lang w:val="en-US" w:eastAsia="zh-CN"/>
              </w:rPr>
              <w:t>保温板</w:t>
            </w:r>
            <w:r>
              <w:rPr>
                <w:rFonts w:hint="eastAsia"/>
                <w:b/>
                <w:sz w:val="20"/>
                <w:szCs w:val="22"/>
              </w:rPr>
              <w:t>工艺：材料准备—</w:t>
            </w:r>
            <w:r>
              <w:rPr>
                <w:rFonts w:hint="eastAsia"/>
                <w:b/>
                <w:sz w:val="20"/>
                <w:szCs w:val="22"/>
                <w:lang w:val="en-US" w:eastAsia="zh-CN"/>
              </w:rPr>
              <w:t>发泡—孵化</w:t>
            </w:r>
            <w:r>
              <w:rPr>
                <w:rFonts w:hint="eastAsia"/>
                <w:b/>
                <w:sz w:val="20"/>
                <w:szCs w:val="22"/>
              </w:rPr>
              <w:t>—挤塑—</w:t>
            </w:r>
            <w:r>
              <w:rPr>
                <w:rFonts w:hint="eastAsia"/>
                <w:b/>
                <w:sz w:val="20"/>
                <w:szCs w:val="22"/>
                <w:lang w:val="en-US" w:eastAsia="zh-CN"/>
              </w:rPr>
              <w:t>烘干</w:t>
            </w:r>
            <w:r>
              <w:rPr>
                <w:rFonts w:hint="eastAsia"/>
                <w:b/>
                <w:sz w:val="20"/>
                <w:szCs w:val="22"/>
                <w:lang w:eastAsia="zh-CN"/>
              </w:rPr>
              <w:t>—</w:t>
            </w:r>
            <w:r>
              <w:rPr>
                <w:rFonts w:hint="eastAsia"/>
                <w:b/>
                <w:sz w:val="20"/>
                <w:szCs w:val="22"/>
              </w:rPr>
              <w:t>下料—检验—包装—入库。</w:t>
            </w:r>
          </w:p>
          <w:p>
            <w:pPr>
              <w:rPr>
                <w:rFonts w:ascii="宋体"/>
                <w:color w:val="000000"/>
                <w:sz w:val="20"/>
                <w:szCs w:val="20"/>
              </w:rPr>
            </w:pPr>
            <w:r>
              <w:rPr>
                <w:rFonts w:hint="eastAsia"/>
                <w:b/>
                <w:sz w:val="20"/>
                <w:szCs w:val="22"/>
              </w:rPr>
              <w:t>真石漆工艺：材料准备—配料搅拌—检验—包装—入库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搅拌过程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搅拌过程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color w:val="000000"/>
                <w:sz w:val="21"/>
                <w:szCs w:val="21"/>
                <w:highlight w:val="none"/>
                <w:lang w:val="en-US" w:eastAsia="zh-CN"/>
              </w:rPr>
              <w:t>锅炉、发泡机、出版机、切板机、提升机、灌装机、搅拌机、分散机等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储气罐、锅炉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r>
              <w:rPr>
                <w:rFonts w:hint="eastAsia" w:ascii="Times New Roman" w:hAnsi="Times New Roman" w:cs="Times New Roman"/>
                <w:szCs w:val="22"/>
                <w:highlight w:val="none"/>
                <w:lang w:val="en-US" w:eastAsia="zh-CN"/>
              </w:rPr>
              <w:t>游标卡尺、电子台秤、钢卷尺、定量包装机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41</w:t>
            </w:r>
            <w:r>
              <w:rPr>
                <w:rFonts w:hint="eastAsia" w:ascii="宋体"/>
                <w:color w:val="000000"/>
                <w:sz w:val="20"/>
                <w:szCs w:val="20"/>
              </w:rPr>
              <w:t>人，其中管理人员：人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生产部、技质部、供销部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w:t>
            </w:r>
            <w:r>
              <w:rPr>
                <w:rFonts w:hint="eastAsia" w:ascii="宋体" w:hAnsi="宋体"/>
                <w:b/>
                <w:color w:val="000000"/>
                <w:sz w:val="20"/>
                <w:szCs w:val="20"/>
                <w:lang w:eastAsia="zh-CN"/>
              </w:rPr>
              <w:t>、</w:t>
            </w:r>
            <w:r>
              <w:rPr>
                <w:rFonts w:hint="eastAsia" w:ascii="宋体" w:hAnsi="宋体"/>
                <w:b/>
                <w:color w:val="000000"/>
                <w:sz w:val="20"/>
                <w:szCs w:val="20"/>
              </w:rPr>
              <w:t>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生产现场、办公室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9"/>
        <w:tblpPr w:leftFromText="180" w:rightFromText="180" w:vertAnchor="text" w:horzAnchor="page" w:tblpX="933" w:tblpY="81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320" w:lineRule="exact"/>
              <w:ind w:firstLine="402" w:firstLineChars="200"/>
              <w:jc w:val="left"/>
              <w:rPr>
                <w:rFonts w:hint="eastAsia" w:ascii="宋体" w:hAnsi="宋体" w:eastAsia="宋体" w:cs="宋体"/>
                <w:color w:val="auto"/>
                <w:szCs w:val="21"/>
                <w:lang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宋体" w:hAnsi="宋体" w:eastAsia="宋体" w:cs="Times New Roman"/>
                <w:szCs w:val="21"/>
              </w:rPr>
              <w:t>2020年9月</w:t>
            </w:r>
            <w:r>
              <w:rPr>
                <w:rFonts w:hint="eastAsia" w:ascii="宋体" w:hAnsi="宋体" w:eastAsia="宋体" w:cs="Times New Roman"/>
                <w:szCs w:val="21"/>
                <w:lang w:val="en-US" w:eastAsia="zh-CN"/>
              </w:rPr>
              <w:t>1</w:t>
            </w:r>
            <w:r>
              <w:rPr>
                <w:rFonts w:hint="eastAsia" w:ascii="宋体" w:hAnsi="宋体" w:eastAsia="宋体" w:cs="Times New Roman"/>
                <w:szCs w:val="21"/>
              </w:rPr>
              <w:t>0日</w:t>
            </w:r>
            <w:r>
              <w:rPr>
                <w:rFonts w:hint="eastAsia"/>
                <w:szCs w:val="21"/>
              </w:rPr>
              <w:t>进行了内部审核。内部审核组组成:</w:t>
            </w:r>
            <w:r>
              <w:rPr>
                <w:rFonts w:hint="eastAsia"/>
                <w:szCs w:val="21"/>
                <w:lang w:val="en-US" w:eastAsia="zh-CN"/>
              </w:rPr>
              <w:t xml:space="preserve">   </w:t>
            </w:r>
            <w:r>
              <w:rPr>
                <w:rFonts w:hint="eastAsia" w:ascii="宋体" w:hAnsi="宋体" w:eastAsia="宋体" w:cs="Times New Roman"/>
                <w:szCs w:val="21"/>
              </w:rPr>
              <w:t>组长：</w:t>
            </w:r>
            <w:r>
              <w:rPr>
                <w:rFonts w:hint="eastAsia" w:ascii="宋体" w:hAnsi="宋体" w:cs="宋体"/>
                <w:color w:val="auto"/>
                <w:szCs w:val="21"/>
                <w:lang w:val="en-US" w:eastAsia="zh-CN"/>
              </w:rPr>
              <w:t>汪园</w:t>
            </w:r>
          </w:p>
          <w:p>
            <w:pPr>
              <w:spacing w:line="320" w:lineRule="exact"/>
              <w:ind w:firstLine="420" w:firstLineChars="200"/>
              <w:jc w:val="left"/>
              <w:rPr>
                <w:szCs w:val="21"/>
              </w:rPr>
            </w:pPr>
            <w:r>
              <w:rPr>
                <w:rFonts w:hint="eastAsia" w:ascii="宋体" w:hAnsi="宋体" w:cs="宋体"/>
                <w:color w:val="auto"/>
                <w:szCs w:val="21"/>
              </w:rPr>
              <w:t xml:space="preserve">            组员：</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黎胜桥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szCs w:val="21"/>
              </w:rPr>
            </w:pPr>
            <w:r>
              <w:rPr>
                <w:rFonts w:hint="eastAsia"/>
                <w:szCs w:val="21"/>
              </w:rPr>
              <w:t>审核范围:管理体系涉及的公司所有部门及活动场所。</w:t>
            </w:r>
          </w:p>
          <w:p>
            <w:pPr>
              <w:spacing w:line="400" w:lineRule="exact"/>
              <w:rPr>
                <w:szCs w:val="21"/>
              </w:rPr>
            </w:pPr>
            <w:r>
              <w:rPr>
                <w:rFonts w:hint="eastAsia"/>
                <w:szCs w:val="21"/>
              </w:rPr>
              <w:t>审核准则：a.GB/T 19001:2016、标准； b.本公司管理体系文 件；c.相关的法律法规； d.顾客及相关方要求等。</w:t>
            </w:r>
          </w:p>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szCs w:val="21"/>
              </w:rPr>
            </w:pPr>
            <w:r>
              <w:rPr>
                <w:rFonts w:hint="eastAsia"/>
                <w:szCs w:val="21"/>
              </w:rPr>
              <w:t>各部门需要对内审开出的不符合项报告认真整改，并做到举一反三，以点带面，通过纠正预防措施的执行，使管理体系正常而有效运行。</w:t>
            </w:r>
          </w:p>
          <w:p>
            <w:pPr>
              <w:spacing w:line="260" w:lineRule="exact"/>
              <w:rPr>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w:t>
            </w:r>
            <w:r>
              <w:rPr>
                <w:rFonts w:hint="eastAsia" w:ascii="宋体" w:hAnsi="宋体"/>
                <w:kern w:val="0"/>
                <w:szCs w:val="21"/>
                <w:lang w:val="en-US" w:eastAsia="zh-CN"/>
              </w:rPr>
              <w:t>20</w:t>
            </w:r>
            <w:r>
              <w:rPr>
                <w:rFonts w:hint="eastAsia" w:ascii="宋体" w:hAnsi="宋体"/>
                <w:kern w:val="0"/>
                <w:szCs w:val="21"/>
              </w:rPr>
              <w:t>年</w:t>
            </w:r>
            <w:r>
              <w:rPr>
                <w:rFonts w:hint="eastAsia" w:ascii="Times New Roman" w:hAnsi="Times New Roman" w:eastAsia="宋体" w:cs="Times New Roman"/>
                <w:szCs w:val="22"/>
                <w:lang w:val="en-US" w:eastAsia="zh-CN"/>
              </w:rPr>
              <w:t>10</w:t>
            </w:r>
            <w:r>
              <w:rPr>
                <w:rFonts w:hint="eastAsia" w:ascii="Times New Roman" w:hAnsi="Times New Roman" w:eastAsia="宋体" w:cs="Times New Roman"/>
                <w:szCs w:val="22"/>
              </w:rPr>
              <w:t>月2</w:t>
            </w:r>
            <w:r>
              <w:rPr>
                <w:rFonts w:hint="eastAsia" w:ascii="Times New Roman" w:hAnsi="Times New Roman" w:eastAsia="宋体" w:cs="Times New Roman"/>
                <w:szCs w:val="22"/>
                <w:lang w:val="en-US" w:eastAsia="zh-CN"/>
              </w:rPr>
              <w:t>0</w:t>
            </w:r>
            <w:r>
              <w:rPr>
                <w:rFonts w:hint="eastAsia" w:ascii="Times New Roman" w:hAnsi="Times New Roman" w:eastAsia="宋体" w:cs="Times New Roman"/>
                <w:szCs w:val="22"/>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w:t>
      </w:r>
      <w:r>
        <w:rPr>
          <w:rFonts w:ascii="宋体" w:hAnsi="宋体"/>
          <w:b/>
          <w:color w:val="000000"/>
          <w:sz w:val="20"/>
          <w:szCs w:val="20"/>
          <w:u w:val="single"/>
        </w:rPr>
        <w:t>___</w:t>
      </w:r>
      <w:r>
        <w:rPr>
          <w:rFonts w:hint="eastAsia" w:ascii="宋体" w:hAnsi="宋体"/>
          <w:szCs w:val="21"/>
          <w:u w:val="single"/>
        </w:rPr>
        <w:t>保温砂浆、保温板、真石漆的生产</w:t>
      </w:r>
      <w:r>
        <w:rPr>
          <w:rFonts w:ascii="宋体" w:hAnsi="宋体"/>
          <w:b/>
          <w:color w:val="000000"/>
          <w:sz w:val="20"/>
          <w:szCs w:val="20"/>
          <w:u w:val="single"/>
        </w:rPr>
        <w:t>_____</w:t>
      </w:r>
      <w:r>
        <w:rPr>
          <w:rFonts w:ascii="宋体" w:hAnsi="宋体"/>
          <w:b/>
          <w:color w:val="000000"/>
          <w:sz w:val="20"/>
          <w:szCs w:val="20"/>
        </w:rPr>
        <w:t>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8240" behindDoc="0" locked="0" layoutInCell="1" allowOverlap="1">
            <wp:simplePos x="0" y="0"/>
            <wp:positionH relativeFrom="column">
              <wp:posOffset>1991360</wp:posOffset>
            </wp:positionH>
            <wp:positionV relativeFrom="paragraph">
              <wp:posOffset>182245</wp:posOffset>
            </wp:positionV>
            <wp:extent cx="516890" cy="365760"/>
            <wp:effectExtent l="0" t="0" r="16510" b="1587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6"/>
                    <a:stretch>
                      <a:fillRect/>
                    </a:stretch>
                  </pic:blipFill>
                  <pic:spPr>
                    <a:xfrm>
                      <a:off x="0" y="0"/>
                      <a:ext cx="516890" cy="365760"/>
                    </a:xfrm>
                    <a:prstGeom prst="rect">
                      <a:avLst/>
                    </a:prstGeom>
                  </pic:spPr>
                </pic:pic>
              </a:graphicData>
            </a:graphic>
          </wp:anchor>
        </w:drawing>
      </w:r>
      <w:r>
        <w:rPr>
          <w:rFonts w:hint="eastAsia" w:ascii="宋体" w:hAnsi="宋体"/>
          <w:b/>
          <w:bCs/>
          <w:color w:val="000000"/>
          <w:sz w:val="26"/>
          <w:szCs w:val="26"/>
        </w:rPr>
        <w:t>十六、审核组签字</w:t>
      </w:r>
    </w:p>
    <w:p>
      <w:pPr>
        <w:spacing w:line="240" w:lineRule="auto"/>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1044" w:firstLineChars="400"/>
        <w:rPr>
          <w:rFonts w:ascii="宋体"/>
          <w:b/>
          <w:color w:val="000000"/>
        </w:rPr>
      </w:pPr>
      <w:r>
        <w:rPr>
          <w:rFonts w:hint="default" w:ascii="宋体" w:eastAsia="宋体"/>
          <w:b/>
          <w:color w:val="000000"/>
          <w:sz w:val="26"/>
          <w:szCs w:val="26"/>
          <w:lang w:val="en-US" w:eastAsia="zh-CN"/>
        </w:rPr>
        <w:drawing>
          <wp:anchor distT="0" distB="0" distL="114300" distR="114300" simplePos="0" relativeHeight="251659264" behindDoc="0" locked="0" layoutInCell="1" allowOverlap="1">
            <wp:simplePos x="0" y="0"/>
            <wp:positionH relativeFrom="column">
              <wp:posOffset>1991360</wp:posOffset>
            </wp:positionH>
            <wp:positionV relativeFrom="paragraph">
              <wp:posOffset>118745</wp:posOffset>
            </wp:positionV>
            <wp:extent cx="494665" cy="289560"/>
            <wp:effectExtent l="0" t="0" r="635" b="15240"/>
            <wp:wrapSquare wrapText="bothSides"/>
            <wp:docPr id="3" name="图片 3" descr="乔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乔军"/>
                    <pic:cNvPicPr>
                      <a:picLocks noChangeAspect="1"/>
                    </pic:cNvPicPr>
                  </pic:nvPicPr>
                  <pic:blipFill>
                    <a:blip r:embed="rId7"/>
                    <a:stretch>
                      <a:fillRect/>
                    </a:stretch>
                  </pic:blipFill>
                  <pic:spPr>
                    <a:xfrm>
                      <a:off x="0" y="0"/>
                      <a:ext cx="494665" cy="289560"/>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2020年12月23日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7"/>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7"/>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bookmarkStart w:id="25" w:name="_GoBack"/>
            <w:bookmarkEnd w:id="25"/>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4"/>
                <w:szCs w:val="24"/>
              </w:rPr>
            </w:pPr>
          </w:p>
        </w:tc>
        <w:tc>
          <w:tcPr>
            <w:tcW w:w="5681" w:type="dxa"/>
            <w:vAlign w:val="center"/>
          </w:tcPr>
          <w:p>
            <w:pPr>
              <w:pStyle w:val="7"/>
              <w:pBdr>
                <w:bottom w:val="none" w:color="auto" w:sz="0" w:space="0"/>
              </w:pBdr>
              <w:tabs>
                <w:tab w:val="center" w:pos="5737"/>
                <w:tab w:val="clear" w:pos="4153"/>
              </w:tabs>
              <w:jc w:val="both"/>
              <w:rPr>
                <w:color w:val="000000"/>
                <w:sz w:val="24"/>
                <w:szCs w:val="24"/>
              </w:rPr>
            </w:pPr>
          </w:p>
        </w:tc>
        <w:tc>
          <w:tcPr>
            <w:tcW w:w="1688" w:type="dxa"/>
            <w:vAlign w:val="center"/>
          </w:tcPr>
          <w:p>
            <w:pPr>
              <w:pStyle w:val="7"/>
              <w:pBdr>
                <w:bottom w:val="none" w:color="auto" w:sz="0" w:space="0"/>
              </w:pBdr>
              <w:ind w:right="600"/>
              <w:jc w:val="both"/>
              <w:rPr>
                <w:color w:val="000000"/>
                <w:sz w:val="32"/>
                <w:szCs w:val="32"/>
              </w:rPr>
            </w:pPr>
          </w:p>
        </w:tc>
        <w:tc>
          <w:tcPr>
            <w:tcW w:w="1811" w:type="dxa"/>
            <w:vAlign w:val="center"/>
          </w:tcPr>
          <w:p>
            <w:pPr>
              <w:pStyle w:val="7"/>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6"/>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D336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next w:val="4"/>
    <w:qFormat/>
    <w:uiPriority w:val="99"/>
    <w:pPr>
      <w:spacing w:after="120" w:afterLines="0"/>
    </w:pPr>
    <w:rPr>
      <w:kern w:val="2"/>
      <w:sz w:val="21"/>
    </w:rPr>
  </w:style>
  <w:style w:type="paragraph" w:styleId="4">
    <w:name w:val="Body Text 2"/>
    <w:basedOn w:val="1"/>
    <w:qFormat/>
    <w:uiPriority w:val="0"/>
    <w:pPr>
      <w:spacing w:after="120" w:afterLines="0" w:afterAutospacing="0" w:line="480" w:lineRule="auto"/>
    </w:p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locked/>
    <w:uiPriority w:val="99"/>
    <w:rPr>
      <w:rFonts w:ascii="Times New Roman" w:hAnsi="Times New Roman" w:eastAsia="宋体" w:cs="Times New Roman"/>
      <w:sz w:val="18"/>
      <w:szCs w:val="18"/>
    </w:rPr>
  </w:style>
  <w:style w:type="character" w:customStyle="1" w:styleId="13">
    <w:name w:val="页脚 字符"/>
    <w:link w:val="6"/>
    <w:locked/>
    <w:uiPriority w:val="99"/>
    <w:rPr>
      <w:rFonts w:ascii="Times New Roman" w:hAnsi="Times New Roman" w:eastAsia="宋体" w:cs="Times New Roman"/>
      <w:sz w:val="18"/>
      <w:szCs w:val="18"/>
    </w:rPr>
  </w:style>
  <w:style w:type="character" w:customStyle="1" w:styleId="14">
    <w:name w:val="页眉 字符"/>
    <w:link w:val="7"/>
    <w:locked/>
    <w:uiPriority w:val="99"/>
    <w:rPr>
      <w:rFonts w:ascii="Calibri" w:hAnsi="Calibri" w:eastAsia="宋体" w:cs="Times New Roman"/>
      <w:sz w:val="18"/>
      <w:szCs w:val="18"/>
    </w:rPr>
  </w:style>
  <w:style w:type="character" w:customStyle="1" w:styleId="15">
    <w:name w:val="副标题 字符"/>
    <w:link w:val="8"/>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Administrator</cp:lastModifiedBy>
  <dcterms:modified xsi:type="dcterms:W3CDTF">2020-12-24T08:05:30Z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