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上海孚因流体动力设备股份有限公司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191</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9</w:t>
      </w:r>
      <w:r>
        <w:rPr>
          <w:rFonts w:ascii="Times New Roman" w:hAnsi="Times New Roman" w:cs="Times New Roman"/>
          <w:sz w:val="32"/>
          <w:u w:val="single"/>
        </w:rPr>
        <w:t>-2020</w:t>
      </w:r>
      <w:bookmarkEnd w:id="1"/>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260</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9</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57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3810"/>
        <w:gridCol w:w="1305"/>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810"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上海孚因流体动力设备股份有限公司</w:t>
            </w:r>
          </w:p>
        </w:tc>
        <w:tc>
          <w:tcPr>
            <w:tcW w:w="130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760"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kern w:val="0"/>
                <w:szCs w:val="21"/>
                <w:lang w:val="en-US" w:eastAsia="zh-CN"/>
              </w:rPr>
            </w:pPr>
            <w:r>
              <w:rPr>
                <w:rFonts w:hint="eastAsia" w:ascii="宋体" w:eastAsia="宋体" w:cs="宋体"/>
                <w:kern w:val="0"/>
                <w:szCs w:val="21"/>
                <w:lang w:val="en-US" w:eastAsia="zh-CN"/>
              </w:rPr>
              <w:t>叶锋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810" w:type="dxa"/>
            <w:noWrap w:val="0"/>
            <w:vAlign w:val="top"/>
          </w:tcPr>
          <w:p>
            <w:pPr>
              <w:jc w:val="center"/>
              <w:rPr>
                <w:rFonts w:hint="default" w:ascii="宋体" w:eastAsiaTheme="minorEastAsia"/>
                <w:lang w:val="en-US" w:eastAsia="zh-CN"/>
              </w:rPr>
            </w:pPr>
            <w:r>
              <w:rPr>
                <w:rFonts w:ascii="宋体" w:hAnsi="宋体"/>
              </w:rPr>
              <w:t>ISC-201</w:t>
            </w:r>
            <w:r>
              <w:rPr>
                <w:rFonts w:hint="eastAsia" w:ascii="宋体" w:hAnsi="宋体"/>
                <w:lang w:val="en-US" w:eastAsia="zh-CN"/>
              </w:rPr>
              <w:t>9</w:t>
            </w:r>
            <w:r>
              <w:rPr>
                <w:rFonts w:ascii="宋体" w:hAnsi="宋体"/>
              </w:rPr>
              <w:t>-0</w:t>
            </w:r>
            <w:r>
              <w:rPr>
                <w:rFonts w:hint="eastAsia" w:ascii="宋体" w:hAnsi="宋体"/>
                <w:lang w:val="en-US" w:eastAsia="zh-CN"/>
              </w:rPr>
              <w:t>540</w:t>
            </w:r>
          </w:p>
        </w:tc>
        <w:tc>
          <w:tcPr>
            <w:tcW w:w="1305" w:type="dxa"/>
            <w:noWrap w:val="0"/>
            <w:vAlign w:val="top"/>
          </w:tcPr>
          <w:p>
            <w:pPr>
              <w:rPr>
                <w:rFonts w:ascii="宋体"/>
              </w:rPr>
            </w:pPr>
            <w:r>
              <w:rPr>
                <w:rFonts w:hint="eastAsia" w:ascii="宋体" w:hAnsi="宋体"/>
              </w:rPr>
              <w:t>证书有效期</w:t>
            </w:r>
          </w:p>
        </w:tc>
        <w:tc>
          <w:tcPr>
            <w:tcW w:w="2760" w:type="dxa"/>
            <w:noWrap w:val="0"/>
            <w:vAlign w:val="top"/>
          </w:tcPr>
          <w:p>
            <w:pPr>
              <w:rPr>
                <w:rFonts w:ascii="宋体"/>
              </w:rPr>
            </w:pPr>
            <w:r>
              <w:rPr>
                <w:rFonts w:ascii="宋体" w:hAnsi="宋体"/>
              </w:rPr>
              <w:t>202</w:t>
            </w:r>
            <w:r>
              <w:rPr>
                <w:rFonts w:hint="eastAsia" w:ascii="宋体" w:hAnsi="宋体"/>
                <w:lang w:val="en-US" w:eastAsia="zh-CN"/>
              </w:rPr>
              <w:t>4</w:t>
            </w:r>
            <w:r>
              <w:rPr>
                <w:rFonts w:hint="eastAsia" w:ascii="宋体" w:hAnsi="宋体"/>
              </w:rPr>
              <w:t>年</w:t>
            </w:r>
            <w:r>
              <w:rPr>
                <w:rFonts w:hint="eastAsia" w:ascii="宋体" w:hAnsi="宋体"/>
                <w:lang w:val="en-US" w:eastAsia="zh-CN"/>
              </w:rPr>
              <w:t>11</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19</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810" w:type="dxa"/>
            <w:noWrap w:val="0"/>
            <w:vAlign w:val="top"/>
          </w:tcPr>
          <w:p>
            <w:pPr>
              <w:tabs>
                <w:tab w:val="left" w:pos="880"/>
              </w:tabs>
              <w:autoSpaceDE w:val="0"/>
              <w:autoSpaceDN w:val="0"/>
              <w:adjustRightInd w:val="0"/>
              <w:spacing w:before="35" w:line="276" w:lineRule="auto"/>
              <w:ind w:right="161" w:firstLine="735" w:firstLineChars="350"/>
              <w:jc w:val="center"/>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30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760"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23-24日上午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监督审核员姓名及确认号</w:t>
            </w:r>
          </w:p>
        </w:tc>
        <w:tc>
          <w:tcPr>
            <w:tcW w:w="3810" w:type="dxa"/>
            <w:noWrap w:val="0"/>
            <w:vAlign w:val="top"/>
          </w:tcPr>
          <w:p>
            <w:pPr>
              <w:tabs>
                <w:tab w:val="left" w:pos="880"/>
              </w:tabs>
              <w:autoSpaceDE w:val="0"/>
              <w:autoSpaceDN w:val="0"/>
              <w:adjustRightInd w:val="0"/>
              <w:spacing w:before="35" w:line="276" w:lineRule="auto"/>
              <w:ind w:right="161"/>
              <w:jc w:val="both"/>
              <w:rPr>
                <w:rFonts w:hint="eastAsia" w:ascii="宋体" w:hAnsi="宋体"/>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Theme="minorEastAsia"/>
                <w:sz w:val="24"/>
                <w:szCs w:val="24"/>
                <w:lang w:val="en-US" w:eastAsia="zh-CN"/>
              </w:rPr>
            </w:pPr>
            <w:r>
              <w:rPr>
                <w:rFonts w:hint="eastAsia" w:ascii="宋体" w:hAnsi="宋体"/>
                <w:sz w:val="24"/>
                <w:szCs w:val="24"/>
                <w:lang w:eastAsia="zh-CN"/>
              </w:rPr>
              <w:t>杜黎鸣</w:t>
            </w:r>
            <w:r>
              <w:rPr>
                <w:rFonts w:hint="eastAsia" w:ascii="宋体" w:hAnsi="宋体"/>
                <w:sz w:val="24"/>
                <w:szCs w:val="24"/>
                <w:lang w:val="en-US" w:eastAsia="zh-CN"/>
              </w:rPr>
              <w:t xml:space="preserve"> </w:t>
            </w:r>
            <w:r>
              <w:rPr>
                <w:rFonts w:hint="eastAsia" w:ascii="宋体" w:hAnsi="宋体"/>
                <w:color w:val="auto"/>
                <w:szCs w:val="21"/>
              </w:rPr>
              <w:t>ISC[S]0259</w:t>
            </w:r>
          </w:p>
        </w:tc>
        <w:tc>
          <w:tcPr>
            <w:tcW w:w="130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760"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eastAsia="宋体" w:cs="宋体"/>
                <w:kern w:val="0"/>
                <w:sz w:val="21"/>
                <w:szCs w:val="21"/>
                <w:lang w:eastAsia="zh-CN"/>
              </w:rPr>
              <w:t>品保部、生产制造部、采购部、销售部、人事行政部、研发部、财务部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上海孚因流体动力设备股份有限公司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7</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3</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w:t>
      </w:r>
      <w:r>
        <w:rPr>
          <w:rFonts w:hint="eastAsia" w:ascii="Times New Roman" w:hAnsi="Times New Roman" w:cs="Times New Roman"/>
          <w:bCs/>
          <w:kern w:val="0"/>
          <w:szCs w:val="21"/>
          <w:lang w:eastAsia="zh-CN"/>
        </w:rPr>
        <w:t>作业区</w:t>
      </w:r>
      <w:r>
        <w:rPr>
          <w:rFonts w:ascii="Times New Roman" w:hAnsi="Times New Roman" w:cs="Times New Roman"/>
          <w:bCs/>
          <w:kern w:val="0"/>
          <w:szCs w:val="21"/>
        </w:rPr>
        <w:t>、原材料库。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上海孚因流体动力设备股份有限公司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23-24</w:t>
      </w:r>
      <w:r>
        <w:rPr>
          <w:rFonts w:ascii="Times New Roman" w:hAnsi="Times New Roman" w:cs="Times New Roman"/>
          <w:bCs/>
          <w:kern w:val="0"/>
          <w:szCs w:val="21"/>
          <w:highlight w:val="none"/>
        </w:rPr>
        <w:t>日，组织了公司测量管理体系内部审核。</w:t>
      </w:r>
      <w:r>
        <w:rPr>
          <w:rFonts w:hint="eastAsia" w:ascii="Times New Roman" w:hAnsi="Times New Roman" w:cs="Times New Roman"/>
          <w:bCs/>
          <w:kern w:val="0"/>
          <w:szCs w:val="21"/>
          <w:highlight w:val="none"/>
          <w:lang w:eastAsia="zh-CN"/>
        </w:rPr>
        <w:t>叶锋</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7</w:t>
      </w:r>
      <w:bookmarkStart w:id="5" w:name="_GoBack"/>
      <w:bookmarkEnd w:id="5"/>
      <w:r>
        <w:rPr>
          <w:rFonts w:ascii="Times New Roman" w:hAnsi="Times New Roman" w:cs="Times New Roman"/>
          <w:bCs/>
          <w:kern w:val="0"/>
          <w:szCs w:val="21"/>
          <w:highlight w:val="none"/>
        </w:rPr>
        <w:t>个职能部门及</w:t>
      </w:r>
      <w:r>
        <w:rPr>
          <w:rFonts w:hint="eastAsia" w:ascii="Times New Roman" w:hAnsi="Times New Roman" w:cs="Times New Roman"/>
          <w:bCs/>
          <w:kern w:val="0"/>
          <w:szCs w:val="21"/>
          <w:highlight w:val="none"/>
          <w:lang w:val="en-US" w:eastAsia="zh-CN"/>
        </w:rPr>
        <w:t>3个生产作业区</w:t>
      </w:r>
      <w:r>
        <w:rPr>
          <w:rFonts w:ascii="Times New Roman" w:hAnsi="Times New Roman" w:cs="Times New Roman"/>
          <w:bCs/>
          <w:kern w:val="0"/>
          <w:szCs w:val="21"/>
          <w:highlight w:val="none"/>
        </w:rPr>
        <w:t>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25</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12</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徐小兵</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rFonts w:hint="eastAsia" w:ascii="宋体" w:hAnsi="宋体"/>
          <w:szCs w:val="21"/>
        </w:rPr>
        <w:t>电动执行器制造，销售</w:t>
      </w:r>
      <w:bookmarkEnd w:id="3"/>
      <w:r>
        <w:rPr>
          <w:rFonts w:hint="eastAsia" w:ascii="宋体" w:hAnsi="宋体"/>
          <w:szCs w:val="21"/>
          <w:lang w:eastAsia="zh-CN"/>
        </w:rPr>
        <w:t>。品保部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bCs/>
          <w:szCs w:val="21"/>
        </w:rPr>
        <w:t>输出内齿轮外径尺寸进料检验</w:t>
      </w:r>
      <w:r>
        <w:rPr>
          <w:rFonts w:hint="eastAsia" w:ascii="宋体"/>
          <w:bCs/>
          <w:szCs w:val="21"/>
          <w:lang w:eastAsia="zh-CN"/>
        </w:rPr>
        <w:t>、抽真空检测、齿轮硬度等</w:t>
      </w:r>
      <w:r>
        <w:rPr>
          <w:rFonts w:ascii="Times New Roman" w:hAnsi="Times New Roman" w:cs="Times New Roman"/>
          <w:bCs/>
          <w:kern w:val="0"/>
          <w:szCs w:val="21"/>
        </w:rPr>
        <w:t>测量过程</w:t>
      </w:r>
      <w:r>
        <w:rPr>
          <w:rFonts w:hint="eastAsia" w:ascii="宋体" w:hAnsi="宋体" w:cs="黑体"/>
          <w:szCs w:val="21"/>
        </w:rPr>
        <w:t>等</w:t>
      </w:r>
      <w:r>
        <w:rPr>
          <w:rFonts w:hint="eastAsia" w:ascii="宋体" w:hAnsi="宋体" w:cs="黑体"/>
          <w:szCs w:val="21"/>
          <w:lang w:val="en-US" w:eastAsia="zh-CN"/>
        </w:rPr>
        <w:t>30</w:t>
      </w:r>
      <w:r>
        <w:rPr>
          <w:rFonts w:hint="eastAsia" w:ascii="宋体" w:hAnsi="宋体"/>
          <w:b w:val="0"/>
          <w:bCs/>
          <w:snapToGrid w:val="0"/>
          <w:color w:val="auto"/>
          <w:kern w:val="0"/>
          <w:szCs w:val="21"/>
          <w:u w:val="none"/>
          <w:lang w:val="en-US" w:eastAsia="zh-CN"/>
        </w:rPr>
        <w:t>个</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，其中关键测量过程</w:t>
      </w:r>
      <w:r>
        <w:rPr>
          <w:rFonts w:hint="eastAsia" w:ascii="Times New Roman" w:hAnsi="Times New Roman" w:cs="Times New Roman"/>
          <w:bCs/>
          <w:kern w:val="0"/>
          <w:szCs w:val="21"/>
          <w:lang w:val="en-US" w:eastAsia="zh-CN"/>
        </w:rPr>
        <w:t>9</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292</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bCs/>
          <w:szCs w:val="21"/>
        </w:rPr>
        <w:t>输出内齿轮外径尺寸进料检验</w:t>
      </w:r>
      <w:r>
        <w:rPr>
          <w:rFonts w:hint="eastAsia" w:ascii="宋体"/>
          <w:bCs/>
          <w:szCs w:val="21"/>
          <w:lang w:eastAsia="zh-CN"/>
        </w:rPr>
        <w:t>、抽真空检测、齿轮硬度等</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bCs/>
          <w:szCs w:val="21"/>
        </w:rPr>
        <w:t>输出内齿轮外径尺寸进料检验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bCs/>
          <w:szCs w:val="21"/>
        </w:rPr>
        <w:t>输出内齿轮外径尺寸进料检验测量</w:t>
      </w:r>
      <w:r>
        <w:rPr>
          <w:rFonts w:hint="eastAsia" w:ascii="Times New Roman" w:hAnsi="Times New Roman"/>
          <w:sz w:val="21"/>
          <w:szCs w:val="21"/>
        </w:rPr>
        <w:t>过程</w:t>
      </w:r>
      <w:r>
        <w:rPr>
          <w:rFonts w:ascii="Times New Roman" w:hAnsi="Times New Roman" w:cs="Times New Roman"/>
          <w:bCs/>
          <w:kern w:val="0"/>
          <w:sz w:val="21"/>
          <w:szCs w:val="21"/>
        </w:rPr>
        <w:t>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bCs/>
          <w:szCs w:val="21"/>
        </w:rPr>
        <w:t>输出内齿轮外径尺寸进料检验</w:t>
      </w:r>
      <w:r>
        <w:rPr>
          <w:rFonts w:hint="eastAsia" w:ascii="宋体"/>
          <w:bCs/>
          <w:szCs w:val="21"/>
          <w:lang w:eastAsia="zh-CN"/>
        </w:rPr>
        <w:t>测量</w:t>
      </w:r>
      <w:r>
        <w:rPr>
          <w:rFonts w:hint="default" w:ascii="Times New Roman" w:hAnsi="Times New Roman" w:cs="Times New Roman"/>
          <w:color w:val="000000"/>
          <w:sz w:val="21"/>
          <w:szCs w:val="21"/>
          <w:lang w:eastAsia="zh-CN"/>
        </w:rPr>
        <w:t>过程</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宋体"/>
          <w:bCs/>
          <w:szCs w:val="21"/>
        </w:rPr>
        <w:t>在企业生产制造部现场，发现编号CHEVALIER-QP2040-L-6000kg一台数控加工中心软件，没有识别和确认，未列入台帐管理</w:t>
      </w:r>
      <w:r>
        <w:rPr>
          <w:rFonts w:hint="eastAsia"/>
          <w:bCs/>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6</w:t>
      </w:r>
      <w:r>
        <w:rPr>
          <w:rFonts w:ascii="Times New Roman" w:hAnsi="Times New Roman" w:cs="Times New Roman"/>
          <w:bCs/>
          <w:kern w:val="0"/>
          <w:szCs w:val="21"/>
        </w:rPr>
        <w:t>项质量目标 ，是管理体系追求的承诺和准则，内容基本覆盖标准要素。公司对本年度质量目标</w:t>
      </w:r>
      <w:r>
        <w:rPr>
          <w:rFonts w:hint="eastAsia" w:ascii="Times New Roman" w:hAnsi="Times New Roman" w:cs="Times New Roman"/>
          <w:bCs/>
          <w:kern w:val="0"/>
          <w:szCs w:val="21"/>
          <w:lang w:eastAsia="zh-CN"/>
        </w:rPr>
        <w:t>已</w:t>
      </w:r>
      <w:r>
        <w:rPr>
          <w:rFonts w:ascii="Times New Roman" w:hAnsi="Times New Roman" w:cs="Times New Roman"/>
          <w:bCs/>
          <w:kern w:val="0"/>
          <w:szCs w:val="21"/>
        </w:rPr>
        <w:t>分解</w:t>
      </w:r>
      <w:r>
        <w:rPr>
          <w:rFonts w:hint="eastAsia" w:ascii="Times New Roman" w:hAnsi="Times New Roman" w:cs="Times New Roman"/>
          <w:bCs/>
          <w:kern w:val="0"/>
          <w:szCs w:val="21"/>
          <w:lang w:eastAsia="zh-CN"/>
        </w:rPr>
        <w:t>，</w:t>
      </w:r>
      <w:r>
        <w:rPr>
          <w:rFonts w:ascii="Times New Roman" w:hAnsi="Times New Roman" w:cs="Times New Roman"/>
          <w:bCs/>
          <w:kern w:val="0"/>
          <w:szCs w:val="21"/>
        </w:rPr>
        <w:t>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广泛应用于给排水、暖通、化工、石油、医药、船舶等流体管在线作为调节或节流装置的执行机构</w:t>
      </w:r>
      <w:r>
        <w:rPr>
          <w:rFonts w:hint="eastAsia" w:ascii="宋体" w:hAnsi="宋体" w:cs="宋体"/>
          <w:bCs/>
          <w:kern w:val="0"/>
          <w:szCs w:val="21"/>
          <w:lang w:eastAsia="zh-CN"/>
        </w:rPr>
        <w:t>，国内国外大型楼宇项目等的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eastAsia" w:ascii="宋体" w:hAnsi="宋体" w:cs="宋体"/>
          <w:color w:val="000000" w:themeColor="text1"/>
          <w:kern w:val="0"/>
          <w:szCs w:val="21"/>
          <w:highlight w:val="none"/>
          <w:lang w:eastAsia="zh-CN"/>
        </w:rPr>
      </w:pPr>
      <w:r>
        <w:rPr>
          <w:rFonts w:hint="eastAsia" w:ascii="宋体" w:hAnsi="宋体" w:cs="宋体"/>
          <w:b/>
          <w:bCs/>
          <w:color w:val="000000" w:themeColor="text1"/>
          <w:kern w:val="0"/>
          <w:szCs w:val="21"/>
          <w:highlight w:val="none"/>
          <w:lang w:val="en-US" w:eastAsia="zh-CN"/>
        </w:rPr>
        <w:t>10.1</w:t>
      </w:r>
      <w:r>
        <w:rPr>
          <w:rFonts w:hint="eastAsia" w:ascii="宋体" w:hAnsi="宋体"/>
          <w:b w:val="0"/>
          <w:bCs w:val="0"/>
          <w:sz w:val="21"/>
          <w:szCs w:val="21"/>
          <w:highlight w:val="none"/>
        </w:rPr>
        <w:t>在</w:t>
      </w:r>
      <w:r>
        <w:rPr>
          <w:rFonts w:hint="eastAsia" w:ascii="宋体" w:hAnsi="宋体" w:cs="宋体"/>
          <w:b w:val="0"/>
          <w:bCs w:val="0"/>
          <w:kern w:val="0"/>
          <w:sz w:val="21"/>
          <w:szCs w:val="21"/>
          <w:highlight w:val="none"/>
        </w:rPr>
        <w:t>生产制造部</w:t>
      </w:r>
      <w:r>
        <w:rPr>
          <w:rFonts w:hint="eastAsia" w:ascii="宋体" w:hAnsi="宋体" w:cs="宋体"/>
          <w:b w:val="0"/>
          <w:bCs w:val="0"/>
          <w:kern w:val="0"/>
          <w:sz w:val="21"/>
          <w:szCs w:val="21"/>
          <w:highlight w:val="none"/>
          <w:lang w:eastAsia="zh-CN"/>
        </w:rPr>
        <w:t>（</w:t>
      </w:r>
      <w:r>
        <w:rPr>
          <w:rFonts w:hint="eastAsia" w:ascii="宋体" w:hAnsi="宋体" w:cs="宋体"/>
          <w:b w:val="0"/>
          <w:bCs w:val="0"/>
          <w:kern w:val="0"/>
          <w:sz w:val="21"/>
          <w:szCs w:val="21"/>
          <w:highlight w:val="none"/>
          <w:lang w:val="en-US" w:eastAsia="zh-CN"/>
        </w:rPr>
        <w:t>装配车间</w:t>
      </w:r>
      <w:r>
        <w:rPr>
          <w:rFonts w:hint="eastAsia" w:ascii="宋体" w:hAnsi="宋体" w:cs="宋体"/>
          <w:b w:val="0"/>
          <w:bCs w:val="0"/>
          <w:kern w:val="0"/>
          <w:sz w:val="21"/>
          <w:szCs w:val="21"/>
          <w:highlight w:val="none"/>
          <w:lang w:eastAsia="zh-CN"/>
        </w:rPr>
        <w:t>）</w:t>
      </w:r>
      <w:r>
        <w:rPr>
          <w:rFonts w:hint="eastAsia" w:ascii="宋体" w:hAnsi="宋体"/>
          <w:b w:val="0"/>
          <w:bCs w:val="0"/>
          <w:sz w:val="21"/>
          <w:szCs w:val="21"/>
          <w:highlight w:val="none"/>
        </w:rPr>
        <w:t>现场，发现</w:t>
      </w:r>
      <w:r>
        <w:rPr>
          <w:rFonts w:hint="eastAsia" w:ascii="宋体" w:hAnsi="宋体" w:cs="宋体"/>
          <w:b w:val="0"/>
          <w:bCs w:val="0"/>
          <w:kern w:val="0"/>
          <w:sz w:val="21"/>
          <w:szCs w:val="21"/>
          <w:highlight w:val="none"/>
          <w:lang w:val="en-US" w:eastAsia="zh-CN"/>
        </w:rPr>
        <w:t>出厂</w:t>
      </w:r>
      <w:r>
        <w:rPr>
          <w:rFonts w:hint="eastAsia" w:ascii="宋体" w:hAnsi="宋体"/>
          <w:b w:val="0"/>
          <w:bCs w:val="0"/>
          <w:color w:val="000000"/>
          <w:sz w:val="21"/>
          <w:szCs w:val="21"/>
          <w:highlight w:val="none"/>
        </w:rPr>
        <w:t>编号：</w:t>
      </w:r>
      <w:r>
        <w:rPr>
          <w:rFonts w:hint="eastAsia" w:ascii="宋体" w:hAnsi="宋体"/>
          <w:b w:val="0"/>
          <w:bCs w:val="0"/>
          <w:color w:val="000000"/>
          <w:sz w:val="21"/>
          <w:szCs w:val="21"/>
          <w:highlight w:val="none"/>
          <w:lang w:val="en-US" w:eastAsia="zh-CN"/>
        </w:rPr>
        <w:t>WB2670A191641耐电压测试仪</w:t>
      </w:r>
      <w:r>
        <w:rPr>
          <w:rFonts w:hint="eastAsia" w:ascii="宋体" w:hAnsi="宋体"/>
          <w:b w:val="0"/>
          <w:bCs w:val="0"/>
          <w:color w:val="000000"/>
          <w:sz w:val="21"/>
          <w:szCs w:val="21"/>
          <w:highlight w:val="none"/>
        </w:rPr>
        <w:t>，</w:t>
      </w:r>
      <w:r>
        <w:rPr>
          <w:rFonts w:hint="eastAsia" w:ascii="宋体" w:hAnsi="宋体"/>
          <w:b w:val="0"/>
          <w:bCs w:val="0"/>
          <w:color w:val="000000"/>
          <w:sz w:val="21"/>
          <w:szCs w:val="21"/>
          <w:highlight w:val="none"/>
          <w:lang w:eastAsia="zh-CN"/>
        </w:rPr>
        <w:t>校准</w:t>
      </w:r>
      <w:r>
        <w:rPr>
          <w:rFonts w:hint="eastAsia" w:ascii="宋体" w:hAnsi="宋体" w:cs="宋体"/>
          <w:b w:val="0"/>
          <w:bCs w:val="0"/>
          <w:kern w:val="0"/>
          <w:sz w:val="21"/>
          <w:szCs w:val="21"/>
          <w:highlight w:val="none"/>
          <w:lang w:val="en-US" w:eastAsia="zh-CN"/>
        </w:rPr>
        <w:t>证书编号：812048002-002，</w:t>
      </w:r>
      <w:r>
        <w:rPr>
          <w:rFonts w:hint="eastAsia" w:ascii="宋体" w:hAnsi="宋体" w:cs="宋体"/>
          <w:b w:val="0"/>
          <w:bCs w:val="0"/>
          <w:kern w:val="0"/>
          <w:sz w:val="21"/>
          <w:szCs w:val="21"/>
          <w:highlight w:val="none"/>
        </w:rPr>
        <w:t>校准日期：</w:t>
      </w:r>
      <w:r>
        <w:rPr>
          <w:rFonts w:ascii="宋体" w:hAnsi="宋体" w:cs="宋体"/>
          <w:b w:val="0"/>
          <w:bCs w:val="0"/>
          <w:kern w:val="0"/>
          <w:sz w:val="21"/>
          <w:szCs w:val="21"/>
          <w:highlight w:val="none"/>
        </w:rPr>
        <w:t>20</w:t>
      </w:r>
      <w:r>
        <w:rPr>
          <w:rFonts w:hint="eastAsia" w:ascii="宋体" w:hAnsi="宋体" w:cs="宋体"/>
          <w:b w:val="0"/>
          <w:bCs w:val="0"/>
          <w:kern w:val="0"/>
          <w:sz w:val="21"/>
          <w:szCs w:val="21"/>
          <w:highlight w:val="none"/>
          <w:lang w:val="en-US" w:eastAsia="zh-CN"/>
        </w:rPr>
        <w:t>20.03.31</w:t>
      </w:r>
      <w:r>
        <w:rPr>
          <w:rFonts w:hint="eastAsia" w:ascii="宋体" w:hAnsi="宋体" w:cs="宋体"/>
          <w:b w:val="0"/>
          <w:bCs w:val="0"/>
          <w:kern w:val="0"/>
          <w:sz w:val="21"/>
          <w:szCs w:val="21"/>
          <w:highlight w:val="none"/>
        </w:rPr>
        <w:t>；</w:t>
      </w:r>
      <w:r>
        <w:rPr>
          <w:rFonts w:ascii="宋体" w:hAnsi="宋体" w:cs="宋体"/>
          <w:kern w:val="0"/>
          <w:szCs w:val="21"/>
        </w:rPr>
        <w:t xml:space="preserve"> </w:t>
      </w:r>
      <w:r>
        <w:rPr>
          <w:rFonts w:hint="eastAsia" w:ascii="宋体" w:hAnsi="宋体" w:cs="宋体"/>
          <w:kern w:val="0"/>
          <w:szCs w:val="21"/>
          <w:lang w:eastAsia="zh-CN"/>
        </w:rPr>
        <w:t>品保部未提供</w:t>
      </w:r>
      <w:r>
        <w:rPr>
          <w:rFonts w:hint="eastAsia" w:ascii="宋体" w:hAnsi="宋体"/>
          <w:b w:val="0"/>
          <w:bCs w:val="0"/>
          <w:color w:val="000000" w:themeColor="text1"/>
          <w:sz w:val="21"/>
          <w:szCs w:val="21"/>
          <w:highlight w:val="none"/>
          <w:lang w:val="en-US" w:eastAsia="zh-CN"/>
        </w:rPr>
        <w:t>测量设备验证记录</w:t>
      </w:r>
      <w:r>
        <w:rPr>
          <w:rFonts w:hint="eastAsia" w:ascii="宋体" w:hAnsi="宋体"/>
          <w:b w:val="0"/>
          <w:bCs w:val="0"/>
          <w:color w:val="000000" w:themeColor="text1"/>
          <w:sz w:val="21"/>
          <w:szCs w:val="21"/>
          <w:highlight w:val="none"/>
          <w:lang w:eastAsia="zh-CN"/>
        </w:rPr>
        <w:t>。</w:t>
      </w:r>
      <w:r>
        <w:rPr>
          <w:rFonts w:hint="eastAsia" w:ascii="宋体" w:hAnsi="宋体"/>
          <w:b w:val="0"/>
          <w:bCs w:val="0"/>
          <w:color w:val="000000" w:themeColor="text1"/>
          <w:sz w:val="21"/>
          <w:szCs w:val="21"/>
          <w:highlight w:val="none"/>
          <w:lang w:val="en-US" w:eastAsia="zh-CN"/>
        </w:rPr>
        <w:t>不符合</w:t>
      </w:r>
      <w:r>
        <w:rPr>
          <w:rFonts w:hint="eastAsia" w:ascii="宋体" w:hAnsi="宋体"/>
          <w:b w:val="0"/>
          <w:bCs w:val="0"/>
          <w:sz w:val="21"/>
          <w:szCs w:val="21"/>
          <w:highlight w:val="none"/>
        </w:rPr>
        <w:t xml:space="preserve"> GB/T19022-2003标准</w:t>
      </w:r>
      <w:r>
        <w:rPr>
          <w:rFonts w:hint="eastAsia" w:ascii="宋体" w:hAnsi="宋体"/>
          <w:b w:val="0"/>
          <w:bCs w:val="0"/>
          <w:color w:val="000000" w:themeColor="text1"/>
          <w:sz w:val="21"/>
          <w:szCs w:val="21"/>
          <w:highlight w:val="none"/>
          <w:lang w:val="en-US" w:eastAsia="zh-CN"/>
        </w:rPr>
        <w:t>7.1.1总则条款“计量确认包括测量设备校准和测量设备验证”。规定要求，</w:t>
      </w:r>
      <w:r>
        <w:rPr>
          <w:rFonts w:hint="eastAsia" w:ascii="宋体" w:hAnsi="宋体" w:cs="宋体"/>
          <w:color w:val="000000" w:themeColor="text1"/>
          <w:kern w:val="0"/>
          <w:szCs w:val="21"/>
          <w:highlight w:val="none"/>
          <w:lang w:eastAsia="zh-CN"/>
        </w:rPr>
        <w:t>属于次要不符合项。</w:t>
      </w:r>
    </w:p>
    <w:p>
      <w:pPr>
        <w:spacing w:line="360" w:lineRule="auto"/>
        <w:ind w:firstLine="480"/>
        <w:rPr>
          <w:rFonts w:hint="eastAsia" w:ascii="宋体" w:hAnsi="宋体" w:cs="宋体"/>
          <w:kern w:val="0"/>
          <w:sz w:val="21"/>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上海孚因流体动力设备股份有限公司</w:t>
      </w:r>
      <w:r>
        <w:rPr>
          <w:rFonts w:ascii="Times New Roman" w:hAnsi="Times New Roman" w:cs="Times New Roman"/>
          <w:bCs/>
          <w:kern w:val="0"/>
          <w:szCs w:val="21"/>
          <w:highlight w:val="none"/>
        </w:rPr>
        <w:t>，</w:t>
      </w:r>
      <w:r>
        <w:rPr>
          <w:rFonts w:hint="eastAsia" w:ascii="宋体" w:hAnsi="宋体"/>
          <w:color w:val="000000"/>
          <w:szCs w:val="21"/>
        </w:rPr>
        <w:t>主要耗能为电；查企业20</w:t>
      </w:r>
      <w:r>
        <w:rPr>
          <w:rFonts w:hint="eastAsia" w:ascii="宋体" w:hAnsi="宋体"/>
          <w:color w:val="000000"/>
          <w:szCs w:val="21"/>
          <w:lang w:val="en-US" w:eastAsia="zh-CN"/>
        </w:rPr>
        <w:t>19</w:t>
      </w:r>
      <w:r>
        <w:rPr>
          <w:rFonts w:hint="eastAsia" w:ascii="宋体" w:hAnsi="宋体"/>
          <w:color w:val="000000"/>
          <w:szCs w:val="21"/>
        </w:rPr>
        <w:t>年</w:t>
      </w:r>
      <w:r>
        <w:rPr>
          <w:rFonts w:hint="eastAsia" w:ascii="宋体" w:hAnsi="宋体"/>
          <w:color w:val="000000"/>
          <w:szCs w:val="21"/>
          <w:lang w:val="en-US" w:eastAsia="zh-CN"/>
        </w:rPr>
        <w:t>12月-2020年11月</w:t>
      </w:r>
      <w:r>
        <w:rPr>
          <w:rFonts w:hint="eastAsia" w:ascii="宋体" w:hAnsi="宋体"/>
          <w:color w:val="000000"/>
          <w:szCs w:val="21"/>
        </w:rPr>
        <w:t>，能耗总</w:t>
      </w:r>
      <w:r>
        <w:rPr>
          <w:rFonts w:hint="eastAsia" w:ascii="宋体" w:hAnsi="宋体"/>
          <w:color w:val="000000"/>
          <w:szCs w:val="21"/>
          <w:lang w:val="en-US" w:eastAsia="zh-CN"/>
        </w:rPr>
        <w:t>46.24</w:t>
      </w:r>
      <w:r>
        <w:rPr>
          <w:rFonts w:hint="eastAsia" w:ascii="宋体" w:hAnsi="宋体"/>
          <w:color w:val="000000"/>
          <w:szCs w:val="21"/>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通过2020年</w:t>
      </w:r>
      <w:r>
        <w:rPr>
          <w:rFonts w:hint="eastAsia" w:ascii="Times New Roman" w:hAnsi="Times New Roman" w:cs="Times New Roman"/>
          <w:bCs/>
          <w:kern w:val="0"/>
          <w:szCs w:val="21"/>
          <w:lang w:val="en-US" w:eastAsia="zh-CN"/>
        </w:rPr>
        <w:t>12</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23-24</w:t>
      </w:r>
      <w:r>
        <w:rPr>
          <w:rFonts w:ascii="Times New Roman" w:hAnsi="Times New Roman" w:cs="Times New Roman"/>
          <w:bCs/>
          <w:kern w:val="0"/>
          <w:szCs w:val="21"/>
        </w:rPr>
        <w:t>日</w:t>
      </w:r>
      <w:r>
        <w:rPr>
          <w:rFonts w:hint="eastAsia" w:ascii="Times New Roman" w:hAnsi="Times New Roman" w:cs="Times New Roman"/>
          <w:bCs/>
          <w:kern w:val="0"/>
          <w:szCs w:val="21"/>
          <w:lang w:eastAsia="zh-CN"/>
        </w:rPr>
        <w:t>上午</w:t>
      </w:r>
      <w:r>
        <w:rPr>
          <w:rFonts w:ascii="Times New Roman" w:hAnsi="Times New Roman" w:cs="Times New Roman"/>
          <w:bCs/>
          <w:kern w:val="0"/>
          <w:szCs w:val="21"/>
        </w:rPr>
        <w:t>，对</w:t>
      </w:r>
      <w:r>
        <w:rPr>
          <w:rFonts w:hint="eastAsia" w:ascii="Times New Roman" w:hAnsi="Times New Roman" w:cs="Times New Roman"/>
          <w:bCs/>
          <w:kern w:val="0"/>
          <w:szCs w:val="21"/>
          <w:lang w:eastAsia="zh-CN"/>
        </w:rPr>
        <w:t>上海孚因流体动力设备股份有限公司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上海孚因流体动力设备股份有限公司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781685" cy="469900"/>
            <wp:effectExtent l="0" t="0" r="18415" b="6350"/>
            <wp:docPr id="6" name="图片 2"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85bc90f7b6220dcee5aa82fda5a7cf9"/>
                    <pic:cNvPicPr>
                      <a:picLocks noChangeAspect="1"/>
                    </pic:cNvPicPr>
                  </pic:nvPicPr>
                  <pic:blipFill>
                    <a:blip r:embed="rId6"/>
                    <a:srcRect l="12695" t="5128"/>
                    <a:stretch>
                      <a:fillRect/>
                    </a:stretch>
                  </pic:blipFill>
                  <pic:spPr>
                    <a:xfrm>
                      <a:off x="0" y="0"/>
                      <a:ext cx="781685" cy="469900"/>
                    </a:xfrm>
                    <a:prstGeom prst="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default"/>
          <w:lang w:val="en-US" w:eastAsia="zh-CN"/>
        </w:rPr>
        <w:drawing>
          <wp:inline distT="0" distB="0" distL="114300" distR="114300">
            <wp:extent cx="962025" cy="399415"/>
            <wp:effectExtent l="0" t="0" r="9525" b="635"/>
            <wp:docPr id="4" name="图片 1" descr="62fbc47c1f858a933f923a3a0296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62fbc47c1f858a933f923a3a0296ef7"/>
                    <pic:cNvPicPr>
                      <a:picLocks noChangeAspect="1"/>
                    </pic:cNvPicPr>
                  </pic:nvPicPr>
                  <pic:blipFill>
                    <a:blip r:embed="rId7"/>
                    <a:srcRect l="5559" t="17931" r="6717" b="26112"/>
                    <a:stretch>
                      <a:fillRect/>
                    </a:stretch>
                  </pic:blipFill>
                  <pic:spPr>
                    <a:xfrm>
                      <a:off x="0" y="0"/>
                      <a:ext cx="962025" cy="399415"/>
                    </a:xfrm>
                    <a:prstGeom prst="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ascii="Times New Roman" w:hAnsi="Times New Roman" w:eastAsia="宋体" w:cs="Times New Roman"/>
          <w:kern w:val="0"/>
          <w:szCs w:val="28"/>
        </w:rPr>
        <w:t>日期：</w:t>
      </w:r>
      <w:r>
        <w:rPr>
          <w:rFonts w:hint="eastAsia" w:ascii="Times New Roman" w:hAnsi="Times New Roman" w:eastAsia="宋体" w:cs="Times New Roman"/>
          <w:kern w:val="0"/>
          <w:szCs w:val="28"/>
          <w:lang w:val="en-US" w:eastAsia="zh-CN"/>
        </w:rPr>
        <w:t>2020.12.24</w:t>
      </w:r>
    </w:p>
    <w:p>
      <w:pPr>
        <w:widowControl/>
        <w:spacing w:line="276" w:lineRule="auto"/>
        <w:ind w:right="945"/>
        <w:jc w:val="left"/>
        <w:rPr>
          <w:rFonts w:hint="default" w:ascii="Times New Roman" w:hAnsi="Times New Roman" w:eastAsia="宋体" w:cs="Times New Roman"/>
          <w:b/>
          <w:kern w:val="0"/>
          <w:sz w:val="20"/>
          <w:szCs w:val="24"/>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0526FD"/>
    <w:rsid w:val="07CB0C61"/>
    <w:rsid w:val="0AAC43F2"/>
    <w:rsid w:val="0B6A287A"/>
    <w:rsid w:val="0C4A062D"/>
    <w:rsid w:val="0CF4221B"/>
    <w:rsid w:val="0DFC7968"/>
    <w:rsid w:val="0E553E18"/>
    <w:rsid w:val="0E8A307E"/>
    <w:rsid w:val="10514274"/>
    <w:rsid w:val="106725C6"/>
    <w:rsid w:val="10CC502F"/>
    <w:rsid w:val="10F52E13"/>
    <w:rsid w:val="110C45FB"/>
    <w:rsid w:val="11550A66"/>
    <w:rsid w:val="1193589A"/>
    <w:rsid w:val="12114279"/>
    <w:rsid w:val="13B07256"/>
    <w:rsid w:val="14403366"/>
    <w:rsid w:val="147A5742"/>
    <w:rsid w:val="14AF6172"/>
    <w:rsid w:val="15217ADC"/>
    <w:rsid w:val="15501560"/>
    <w:rsid w:val="158D185E"/>
    <w:rsid w:val="17E86A55"/>
    <w:rsid w:val="188842BC"/>
    <w:rsid w:val="191875B9"/>
    <w:rsid w:val="1A9066D8"/>
    <w:rsid w:val="1ACB2E07"/>
    <w:rsid w:val="1B6E0BCC"/>
    <w:rsid w:val="1DB528F4"/>
    <w:rsid w:val="1F96490F"/>
    <w:rsid w:val="1FD87C5A"/>
    <w:rsid w:val="205A621D"/>
    <w:rsid w:val="221F4A52"/>
    <w:rsid w:val="22D6310F"/>
    <w:rsid w:val="236837F1"/>
    <w:rsid w:val="26D61E0E"/>
    <w:rsid w:val="290D70F9"/>
    <w:rsid w:val="294A7B5F"/>
    <w:rsid w:val="29EC5CDB"/>
    <w:rsid w:val="2CAB432C"/>
    <w:rsid w:val="2DD74E91"/>
    <w:rsid w:val="2E000AD3"/>
    <w:rsid w:val="2E091DB5"/>
    <w:rsid w:val="2E92798F"/>
    <w:rsid w:val="2EE23BD1"/>
    <w:rsid w:val="30DE05E1"/>
    <w:rsid w:val="33947CD2"/>
    <w:rsid w:val="34D4260D"/>
    <w:rsid w:val="352D77B4"/>
    <w:rsid w:val="36823C9C"/>
    <w:rsid w:val="37596989"/>
    <w:rsid w:val="37C53059"/>
    <w:rsid w:val="38505CE2"/>
    <w:rsid w:val="38E460E2"/>
    <w:rsid w:val="39364992"/>
    <w:rsid w:val="3A8F40F6"/>
    <w:rsid w:val="3B671689"/>
    <w:rsid w:val="3FD079A4"/>
    <w:rsid w:val="410611B0"/>
    <w:rsid w:val="4119198D"/>
    <w:rsid w:val="415E78AA"/>
    <w:rsid w:val="42177FA9"/>
    <w:rsid w:val="42C727C5"/>
    <w:rsid w:val="42E02AF7"/>
    <w:rsid w:val="43EF4DE3"/>
    <w:rsid w:val="46425F4D"/>
    <w:rsid w:val="46FF1A20"/>
    <w:rsid w:val="478068A7"/>
    <w:rsid w:val="48893FED"/>
    <w:rsid w:val="4B646F95"/>
    <w:rsid w:val="4CDD5289"/>
    <w:rsid w:val="4D3B07E4"/>
    <w:rsid w:val="4DEA7C06"/>
    <w:rsid w:val="4DF83EDC"/>
    <w:rsid w:val="4E2C127C"/>
    <w:rsid w:val="4F966158"/>
    <w:rsid w:val="50AB3606"/>
    <w:rsid w:val="52CF4CBD"/>
    <w:rsid w:val="55C948E7"/>
    <w:rsid w:val="560936BF"/>
    <w:rsid w:val="562F6FE8"/>
    <w:rsid w:val="56BD4064"/>
    <w:rsid w:val="57B34F29"/>
    <w:rsid w:val="584066CD"/>
    <w:rsid w:val="58F22A70"/>
    <w:rsid w:val="59EE788F"/>
    <w:rsid w:val="5A335F8D"/>
    <w:rsid w:val="5AEA42C2"/>
    <w:rsid w:val="5BA81CB8"/>
    <w:rsid w:val="5C132391"/>
    <w:rsid w:val="5DA46180"/>
    <w:rsid w:val="5F9734F6"/>
    <w:rsid w:val="60C64E46"/>
    <w:rsid w:val="62BA3AD0"/>
    <w:rsid w:val="63C16F8E"/>
    <w:rsid w:val="63FC6CAF"/>
    <w:rsid w:val="64EE7411"/>
    <w:rsid w:val="654B5DFD"/>
    <w:rsid w:val="65A652AE"/>
    <w:rsid w:val="65C01B44"/>
    <w:rsid w:val="65E20B96"/>
    <w:rsid w:val="69E70FB5"/>
    <w:rsid w:val="6B9A7111"/>
    <w:rsid w:val="6CC32C31"/>
    <w:rsid w:val="6F264392"/>
    <w:rsid w:val="6FCF21C7"/>
    <w:rsid w:val="70BF6DFC"/>
    <w:rsid w:val="73877C76"/>
    <w:rsid w:val="738E408B"/>
    <w:rsid w:val="7405196C"/>
    <w:rsid w:val="74062830"/>
    <w:rsid w:val="74243E8A"/>
    <w:rsid w:val="7567525C"/>
    <w:rsid w:val="75E04B0D"/>
    <w:rsid w:val="773D5F1F"/>
    <w:rsid w:val="77555FF3"/>
    <w:rsid w:val="784E5A3C"/>
    <w:rsid w:val="788E567B"/>
    <w:rsid w:val="7AE25BD9"/>
    <w:rsid w:val="7C7F33A8"/>
    <w:rsid w:val="7CAD1349"/>
    <w:rsid w:val="7CB55D5F"/>
    <w:rsid w:val="7CDC30C1"/>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4</TotalTime>
  <ScaleCrop>false</ScaleCrop>
  <LinksUpToDate>false</LinksUpToDate>
  <CharactersWithSpaces>3072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2020-12-24T01:16:53Z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