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38"/>
        <w:gridCol w:w="1312"/>
        <w:gridCol w:w="1975"/>
        <w:gridCol w:w="1494"/>
        <w:gridCol w:w="1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东方惠和科技集团有限公司</w:t>
            </w:r>
            <w:bookmarkEnd w:id="4"/>
          </w:p>
        </w:tc>
        <w:tc>
          <w:tcPr>
            <w:tcW w:w="149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张玉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姜惠萍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吴思彦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软件开发</w:t>
            </w:r>
            <w:r>
              <w:rPr>
                <w:rFonts w:hint="eastAsia"/>
                <w:lang w:eastAsia="zh-CN"/>
              </w:rPr>
              <w:t>；顾客沟通—合同评审—签订合同--立项--需求分析--概要设计--详细设计—客户确认--测试—交付使用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软件开发为特殊过程及关键过程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  软件生存周期过程一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软件工程术语标准 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11457-2006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 软件生存周期过程 四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  五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2020.12.29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2020.12.29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704614"/>
    <w:rsid w:val="3A6135B0"/>
    <w:rsid w:val="776E1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2020-12-29T02:04:01Z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