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0733-2020-Q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东方惠和科技集团有限公司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审核员</w:t>
            </w:r>
          </w:p>
        </w:tc>
        <w:tc>
          <w:tcPr>
            <w:tcW w:w="3171" w:type="dxa"/>
            <w:gridSpan w:val="4"/>
            <w:vAlign w:val="center"/>
          </w:tcPr>
          <w:p>
            <w:pPr>
              <w:spacing w:line="240" w:lineRule="exact"/>
              <w:jc w:val="center"/>
              <w:rPr>
                <w:b/>
                <w:color w:val="000000"/>
                <w:sz w:val="20"/>
                <w:szCs w:val="20"/>
              </w:rPr>
            </w:pPr>
            <w:r>
              <w:rPr>
                <w:b/>
                <w:color w:val="000000"/>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2410" w:type="dxa"/>
            <w:gridSpan w:val="2"/>
            <w:vAlign w:val="center"/>
          </w:tcPr>
          <w:p>
            <w:pPr>
              <w:spacing w:line="240" w:lineRule="exact"/>
              <w:jc w:val="center"/>
              <w:rPr>
                <w:b/>
                <w:color w:val="000000"/>
                <w:sz w:val="20"/>
                <w:szCs w:val="20"/>
              </w:rPr>
            </w:pP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410" w:type="dxa"/>
            <w:gridSpan w:val="2"/>
            <w:vAlign w:val="center"/>
          </w:tcPr>
          <w:p>
            <w:pPr>
              <w:rPr>
                <w:b/>
                <w:color w:val="000000"/>
                <w:sz w:val="20"/>
                <w:szCs w:val="20"/>
              </w:rPr>
            </w:pP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w:char="00A8"/>
      </w:r>
      <w:r>
        <w:rPr>
          <w:rFonts w:ascii="宋体" w:hAnsi="宋体"/>
          <w:b/>
          <w:color w:val="000000"/>
          <w:sz w:val="20"/>
          <w:szCs w:val="20"/>
        </w:rPr>
        <w:t>EMS/</w:t>
      </w:r>
      <w:r>
        <w:rPr>
          <w:rFonts w:hint="eastAsia" w:ascii="宋体" w:hAnsi="宋体" w:cs="宋体"/>
          <w:b/>
          <w:color w:val="000000"/>
          <w:sz w:val="20"/>
          <w:szCs w:val="20"/>
        </w:rPr>
        <w:sym w:font="Wingdings" w:char="00A8"/>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eastAsia="zh-CN"/>
        </w:rPr>
        <w:sym w:font="Wingdings" w:char="00A8"/>
      </w:r>
      <w:r>
        <w:rPr>
          <w:rFonts w:hint="eastAsia" w:ascii="宋体" w:hAnsi="宋体"/>
          <w:b/>
          <w:color w:val="000000"/>
          <w:sz w:val="20"/>
          <w:szCs w:val="20"/>
          <w:lang w:val="de-DE" w:eastAsia="zh-CN"/>
        </w:rPr>
        <w:t>GB/45001-2020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东方惠和科技集团有限公司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北京市通州区中关村科技园区通州园光机电一体化产业基地政府路17号025室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北京市朝阳区高碑店南岸一号西店村82-104</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杜继强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15388514112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杨小军</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高文</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2" w:name="联系人邮箱Add1"/>
            <w:r>
              <w:rPr>
                <w:rFonts w:ascii="宋体"/>
                <w:b/>
                <w:color w:val="000000"/>
                <w:sz w:val="20"/>
                <w:szCs w:val="20"/>
              </w:rPr>
              <w:t>1150812526@qq.com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2020年5月15日</w:t>
            </w:r>
            <w: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pPr>
            <w:bookmarkStart w:id="3" w:name="审核范围"/>
            <w:r>
              <w:rPr>
                <w:rFonts w:ascii="宋体" w:hAnsi="宋体"/>
                <w:b/>
                <w:color w:val="000000"/>
                <w:sz w:val="20"/>
                <w:szCs w:val="20"/>
              </w:rPr>
              <w:t>Q：</w:t>
            </w:r>
            <w:bookmarkEnd w:id="3"/>
            <w:r>
              <w:rPr>
                <w:rFonts w:hint="eastAsia" w:ascii="宋体" w:hAnsi="宋体"/>
                <w:szCs w:val="21"/>
              </w:rPr>
              <w:t xml:space="preserve">计算机软件开发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4" w:name="专业代码"/>
            <w:r>
              <w:rPr>
                <w:rFonts w:ascii="宋体"/>
                <w:b/>
                <w:color w:val="000000"/>
                <w:sz w:val="20"/>
                <w:szCs w:val="20"/>
              </w:rPr>
              <w:t>33.02.01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rPr>
            </w:pP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rPr>
        <w:t>综合部 、技术部   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t>软件开发</w:t>
      </w:r>
      <w:r>
        <w:rPr>
          <w:rFonts w:hint="eastAsia" w:ascii="宋体" w:hAnsi="宋体"/>
          <w:b/>
          <w:color w:val="000000"/>
          <w:sz w:val="20"/>
          <w:szCs w:val="20"/>
          <w:u w:val="single"/>
        </w:rPr>
        <w:t xml:space="preserve">场所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szCs w:val="21"/>
              </w:rPr>
              <w:t xml:space="preserve">计算机软件开发 </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hAnsi="宋体" w:eastAsia="宋体"/>
                <w:b/>
                <w:color w:val="000000"/>
                <w:sz w:val="20"/>
                <w:szCs w:val="20"/>
                <w:u w:val="single"/>
                <w:lang w:val="en-US" w:eastAsia="zh-CN"/>
              </w:rPr>
            </w:pPr>
            <w:r>
              <w:rPr>
                <w:rFonts w:hint="eastAsia" w:ascii="宋体" w:hAnsi="宋体"/>
                <w:b/>
                <w:color w:val="000000"/>
                <w:sz w:val="20"/>
                <w:szCs w:val="20"/>
              </w:rPr>
              <w:t>公司部门设置：</w:t>
            </w:r>
            <w:r>
              <w:rPr>
                <w:rFonts w:hint="eastAsia" w:ascii="宋体" w:hAnsi="宋体"/>
                <w:b/>
                <w:color w:val="000000"/>
                <w:sz w:val="20"/>
                <w:szCs w:val="20"/>
                <w:u w:val="single"/>
              </w:rPr>
              <w:t>综合部、</w:t>
            </w:r>
            <w:r>
              <w:rPr>
                <w:rFonts w:hint="eastAsia" w:ascii="宋体" w:hAnsi="宋体"/>
                <w:b/>
                <w:color w:val="000000"/>
                <w:sz w:val="20"/>
                <w:szCs w:val="20"/>
                <w:u w:val="single"/>
                <w:lang w:val="en-US" w:eastAsia="zh-CN"/>
              </w:rPr>
              <w:t>技术</w:t>
            </w:r>
            <w:r>
              <w:rPr>
                <w:rFonts w:hint="eastAsia" w:ascii="宋体" w:hAnsi="宋体"/>
                <w:b/>
                <w:color w:val="000000"/>
                <w:sz w:val="20"/>
                <w:szCs w:val="20"/>
                <w:u w:val="single"/>
              </w:rPr>
              <w:t>部</w:t>
            </w:r>
            <w:r>
              <w:rPr>
                <w:rFonts w:hint="eastAsia" w:ascii="宋体" w:hAnsi="宋体"/>
                <w:b/>
                <w:color w:val="000000"/>
                <w:sz w:val="20"/>
                <w:szCs w:val="20"/>
                <w:u w:val="single"/>
                <w:lang w:val="en-US" w:eastAsia="zh-CN"/>
              </w:rPr>
              <w:t xml:space="preserve"> 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000000"/>
                <w:sz w:val="20"/>
                <w:szCs w:val="20"/>
                <w:lang w:val="en-US" w:eastAsia="zh-CN"/>
              </w:rPr>
            </w:pPr>
            <w:r>
              <w:rPr>
                <w:rFonts w:ascii="宋体" w:hAnsi="宋体"/>
                <w:color w:val="000000"/>
                <w:sz w:val="20"/>
                <w:szCs w:val="20"/>
              </w:rPr>
              <w:t>—</w:t>
            </w:r>
            <w:r>
              <w:rPr>
                <w:rFonts w:ascii="宋体" w:hAnsi="宋体"/>
                <w:color w:val="FF0000"/>
                <w:sz w:val="20"/>
                <w:szCs w:val="20"/>
              </w:rPr>
              <w:t>—</w:t>
            </w:r>
            <w:r>
              <w:rPr>
                <w:rFonts w:hint="eastAsia" w:ascii="宋体" w:hAnsi="宋体"/>
                <w:color w:val="FF0000"/>
                <w:sz w:val="20"/>
                <w:szCs w:val="20"/>
              </w:rPr>
              <w:t>临时</w:t>
            </w:r>
            <w:r>
              <w:rPr>
                <w:rFonts w:ascii="宋体" w:hAnsi="宋体"/>
                <w:color w:val="FF0000"/>
                <w:sz w:val="20"/>
                <w:szCs w:val="20"/>
              </w:rPr>
              <w:t>/</w:t>
            </w:r>
            <w:r>
              <w:rPr>
                <w:rFonts w:hint="eastAsia" w:ascii="宋体" w:hAnsi="宋体"/>
                <w:color w:val="FF0000"/>
                <w:sz w:val="20"/>
                <w:szCs w:val="20"/>
              </w:rPr>
              <w:t>流动场所有几个</w:t>
            </w:r>
            <w:r>
              <w:rPr>
                <w:rFonts w:ascii="宋体" w:hAnsi="宋体"/>
                <w:color w:val="FF0000"/>
                <w:sz w:val="20"/>
                <w:szCs w:val="20"/>
              </w:rPr>
              <w:t>;</w:t>
            </w:r>
            <w:r>
              <w:rPr>
                <w:rFonts w:hint="eastAsia" w:ascii="宋体" w:hAnsi="宋体"/>
                <w:color w:val="FF0000"/>
                <w:sz w:val="20"/>
                <w:szCs w:val="20"/>
                <w:lang w:val="en-US" w:eastAsia="zh-CN"/>
              </w:rPr>
              <w:t>个</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5" w:name="生产地址"/>
            <w:r>
              <w:t>北京市朝阳区高碑店南岸一号西店村82-104</w:t>
            </w:r>
            <w:bookmarkEnd w:id="5"/>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pPr>
              <w:rPr>
                <w:rFonts w:hint="eastAsia"/>
                <w:lang w:eastAsia="zh-CN"/>
              </w:rPr>
            </w:pPr>
            <w:r>
              <w:rPr>
                <w:rFonts w:hint="eastAsia"/>
                <w:lang w:eastAsia="zh-CN"/>
              </w:rPr>
              <w:t>信息技术  软件生存周期过程一</w:t>
            </w:r>
            <w:r>
              <w:rPr>
                <w:rFonts w:hint="eastAsia"/>
                <w:lang w:eastAsia="zh-CN"/>
              </w:rPr>
              <w:tab/>
            </w:r>
            <w:r>
              <w:rPr>
                <w:rFonts w:hint="eastAsia"/>
                <w:lang w:eastAsia="zh-CN"/>
              </w:rPr>
              <w:t>GB/Z 18493-2001</w:t>
            </w:r>
          </w:p>
          <w:p>
            <w:pPr>
              <w:rPr>
                <w:rFonts w:hint="eastAsia"/>
                <w:lang w:eastAsia="zh-CN"/>
              </w:rPr>
            </w:pPr>
            <w:r>
              <w:rPr>
                <w:rFonts w:hint="eastAsia"/>
                <w:lang w:eastAsia="zh-CN"/>
              </w:rPr>
              <w:t>信息技术 软件生存周期过程二</w:t>
            </w:r>
            <w:r>
              <w:rPr>
                <w:rFonts w:hint="eastAsia"/>
                <w:lang w:eastAsia="zh-CN"/>
              </w:rPr>
              <w:tab/>
            </w:r>
            <w:r>
              <w:rPr>
                <w:rFonts w:hint="eastAsia"/>
                <w:lang w:eastAsia="zh-CN"/>
              </w:rPr>
              <w:t>GB/T 8566-2007</w:t>
            </w:r>
          </w:p>
          <w:p>
            <w:pPr>
              <w:rPr>
                <w:rFonts w:hint="eastAsia"/>
                <w:lang w:eastAsia="zh-CN"/>
              </w:rPr>
            </w:pPr>
            <w:r>
              <w:rPr>
                <w:rFonts w:hint="eastAsia"/>
                <w:lang w:eastAsia="zh-CN"/>
              </w:rPr>
              <w:t xml:space="preserve">计算机软件文档编制规范 </w:t>
            </w:r>
            <w:r>
              <w:rPr>
                <w:rFonts w:hint="eastAsia"/>
                <w:lang w:eastAsia="zh-CN"/>
              </w:rPr>
              <w:tab/>
            </w:r>
            <w:r>
              <w:rPr>
                <w:rFonts w:hint="eastAsia"/>
                <w:lang w:eastAsia="zh-CN"/>
              </w:rPr>
              <w:t>GB/T 8567-2006</w:t>
            </w:r>
          </w:p>
          <w:p>
            <w:pPr>
              <w:rPr>
                <w:rFonts w:hint="eastAsia"/>
                <w:lang w:eastAsia="zh-CN"/>
              </w:rPr>
            </w:pPr>
            <w:r>
              <w:rPr>
                <w:rFonts w:hint="eastAsia"/>
                <w:lang w:eastAsia="zh-CN"/>
              </w:rPr>
              <w:t>计算机软件需求规格说明规范</w:t>
            </w:r>
            <w:r>
              <w:rPr>
                <w:rFonts w:hint="eastAsia"/>
                <w:lang w:eastAsia="zh-CN"/>
              </w:rPr>
              <w:tab/>
            </w:r>
            <w:r>
              <w:rPr>
                <w:rFonts w:hint="eastAsia"/>
                <w:lang w:eastAsia="zh-CN"/>
              </w:rPr>
              <w:t xml:space="preserve">GB/T 9385-2008 </w:t>
            </w:r>
          </w:p>
          <w:p>
            <w:pPr>
              <w:rPr>
                <w:rFonts w:hint="eastAsia"/>
                <w:lang w:eastAsia="zh-CN"/>
              </w:rPr>
            </w:pPr>
            <w:r>
              <w:rPr>
                <w:rFonts w:hint="eastAsia"/>
                <w:lang w:val="en-US" w:eastAsia="zh-CN"/>
              </w:rPr>
              <w:t>计</w:t>
            </w:r>
            <w:r>
              <w:rPr>
                <w:rFonts w:hint="eastAsia"/>
                <w:lang w:eastAsia="zh-CN"/>
              </w:rPr>
              <w:t xml:space="preserve">算机软件测试文档编制规范 </w:t>
            </w:r>
            <w:r>
              <w:rPr>
                <w:rFonts w:hint="eastAsia"/>
                <w:lang w:eastAsia="zh-CN"/>
              </w:rPr>
              <w:tab/>
            </w:r>
            <w:r>
              <w:rPr>
                <w:rFonts w:hint="eastAsia"/>
                <w:lang w:eastAsia="zh-CN"/>
              </w:rPr>
              <w:t>GB/T 9386-2008</w:t>
            </w:r>
          </w:p>
          <w:p>
            <w:pPr>
              <w:rPr>
                <w:rFonts w:hint="eastAsia"/>
                <w:lang w:eastAsia="zh-CN"/>
              </w:rPr>
            </w:pPr>
            <w:r>
              <w:rPr>
                <w:rFonts w:hint="eastAsia"/>
                <w:lang w:eastAsia="zh-CN"/>
              </w:rPr>
              <w:t xml:space="preserve">软件工程术语标准  </w:t>
            </w:r>
            <w:r>
              <w:rPr>
                <w:rFonts w:hint="eastAsia"/>
                <w:lang w:eastAsia="zh-CN"/>
              </w:rPr>
              <w:tab/>
            </w:r>
            <w:r>
              <w:rPr>
                <w:rFonts w:hint="eastAsia"/>
                <w:lang w:eastAsia="zh-CN"/>
              </w:rPr>
              <w:t>GB/T 11457-2006</w:t>
            </w:r>
          </w:p>
          <w:p>
            <w:pPr>
              <w:rPr>
                <w:rFonts w:hint="eastAsia"/>
                <w:lang w:eastAsia="zh-CN"/>
              </w:rPr>
            </w:pPr>
            <w:r>
              <w:rPr>
                <w:rFonts w:hint="eastAsia"/>
                <w:lang w:eastAsia="zh-CN"/>
              </w:rPr>
              <w:t>信息技术  软件生存周期过程 四</w:t>
            </w:r>
            <w:r>
              <w:rPr>
                <w:rFonts w:hint="eastAsia"/>
                <w:lang w:eastAsia="zh-CN"/>
              </w:rPr>
              <w:tab/>
            </w:r>
            <w:r>
              <w:rPr>
                <w:rFonts w:hint="eastAsia"/>
                <w:lang w:eastAsia="zh-CN"/>
              </w:rPr>
              <w:t>GB/Z 18493-2001</w:t>
            </w:r>
          </w:p>
          <w:p>
            <w:pPr>
              <w:rPr>
                <w:rFonts w:hint="eastAsia"/>
                <w:lang w:eastAsia="zh-CN"/>
              </w:rPr>
            </w:pPr>
            <w:r>
              <w:rPr>
                <w:rFonts w:hint="eastAsia"/>
                <w:lang w:eastAsia="zh-CN"/>
              </w:rPr>
              <w:t>信息技术 软件生存周期过程  五</w:t>
            </w:r>
            <w:r>
              <w:rPr>
                <w:rFonts w:hint="eastAsia"/>
                <w:lang w:eastAsia="zh-CN"/>
              </w:rPr>
              <w:tab/>
            </w:r>
            <w:r>
              <w:rPr>
                <w:rFonts w:hint="eastAsia"/>
                <w:lang w:eastAsia="zh-CN"/>
              </w:rPr>
              <w:t>GB/T 8566-2007</w:t>
            </w:r>
          </w:p>
          <w:p>
            <w:pPr>
              <w:rPr>
                <w:rFonts w:hint="eastAsia"/>
                <w:lang w:eastAsia="zh-CN"/>
              </w:rPr>
            </w:pPr>
            <w:r>
              <w:rPr>
                <w:rFonts w:hint="eastAsia"/>
                <w:lang w:val="en-US" w:eastAsia="zh-CN"/>
              </w:rPr>
              <w:t>计</w:t>
            </w:r>
            <w:r>
              <w:rPr>
                <w:rFonts w:hint="eastAsia"/>
                <w:lang w:eastAsia="zh-CN"/>
              </w:rPr>
              <w:t xml:space="preserve">算机软件文档编制规范 </w:t>
            </w:r>
            <w:r>
              <w:rPr>
                <w:rFonts w:hint="eastAsia"/>
                <w:lang w:eastAsia="zh-CN"/>
              </w:rPr>
              <w:tab/>
            </w:r>
            <w:r>
              <w:rPr>
                <w:rFonts w:hint="eastAsia"/>
                <w:lang w:eastAsia="zh-CN"/>
              </w:rPr>
              <w:t>GB/T 8567-2006</w:t>
            </w:r>
          </w:p>
          <w:p>
            <w:pPr>
              <w:rPr>
                <w:rFonts w:hint="eastAsia"/>
                <w:lang w:eastAsia="zh-CN"/>
              </w:rPr>
            </w:pPr>
            <w:r>
              <w:rPr>
                <w:rFonts w:hint="eastAsia"/>
                <w:lang w:eastAsia="zh-CN"/>
              </w:rPr>
              <w:t>计算机软件需求规格说明规范</w:t>
            </w:r>
            <w:r>
              <w:rPr>
                <w:rFonts w:hint="eastAsia"/>
                <w:lang w:eastAsia="zh-CN"/>
              </w:rPr>
              <w:tab/>
            </w:r>
            <w:r>
              <w:rPr>
                <w:rFonts w:hint="eastAsia"/>
                <w:lang w:eastAsia="zh-CN"/>
              </w:rPr>
              <w:t xml:space="preserve">GB/T 9385-2008 </w:t>
            </w:r>
          </w:p>
          <w:p>
            <w:pPr>
              <w:rPr>
                <w:rFonts w:hint="eastAsia"/>
                <w:lang w:eastAsia="zh-CN"/>
              </w:rPr>
            </w:pPr>
            <w:r>
              <w:rPr>
                <w:rFonts w:hint="eastAsia"/>
                <w:lang w:eastAsia="zh-CN"/>
              </w:rPr>
              <w:t xml:space="preserve">计算机软件测试文档编制规范 </w:t>
            </w:r>
            <w:r>
              <w:rPr>
                <w:rFonts w:hint="eastAsia"/>
                <w:lang w:eastAsia="zh-CN"/>
              </w:rPr>
              <w:tab/>
            </w:r>
            <w:r>
              <w:rPr>
                <w:rFonts w:hint="eastAsia"/>
                <w:lang w:eastAsia="zh-CN"/>
              </w:rPr>
              <w:t>GB/T 9386-2008</w:t>
            </w:r>
          </w:p>
          <w:p>
            <w:pPr>
              <w:rPr>
                <w:rFonts w:ascii="宋体"/>
                <w:color w:val="000000"/>
                <w:spacing w:val="-10"/>
                <w:sz w:val="20"/>
                <w:szCs w:val="20"/>
              </w:rPr>
            </w:pPr>
            <w:r>
              <w:tab/>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ascii="宋体" w:hAns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pPr>
            <w:r>
              <w:rPr>
                <w:rFonts w:hint="eastAsia"/>
              </w:rPr>
              <w:t>产品实现流程：</w:t>
            </w:r>
          </w:p>
          <w:p>
            <w:pPr>
              <w:rPr>
                <w:rFonts w:hint="eastAsia"/>
                <w:lang w:eastAsia="zh-CN"/>
              </w:rPr>
            </w:pPr>
            <w:r>
              <w:rPr>
                <w:rFonts w:hint="eastAsia" w:ascii="宋体" w:hAnsi="宋体"/>
                <w:szCs w:val="21"/>
              </w:rPr>
              <w:t xml:space="preserve">计算机软件开发 </w:t>
            </w:r>
            <w:r>
              <w:rPr>
                <w:rFonts w:hint="eastAsia"/>
                <w:lang w:eastAsia="zh-CN"/>
              </w:rPr>
              <w:t>；顾客沟通—合同评审—签订合同--立项--需求分析--概要设计--详细设计—客户确认--测试—交付使用</w:t>
            </w:r>
          </w:p>
          <w:p>
            <w:pPr>
              <w:rPr>
                <w:rFonts w:hint="eastAsia"/>
                <w:lang w:eastAsia="zh-CN"/>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lang w:eastAsia="zh-CN"/>
              </w:rPr>
              <w:t>软件开发</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lang w:eastAsia="zh-CN"/>
              </w:rPr>
              <w:t>软件开发</w:t>
            </w:r>
            <w:r>
              <w:rPr>
                <w:rFonts w:hint="eastAsia"/>
                <w:lang w:val="en-US" w:eastAsia="zh-CN"/>
              </w:rPr>
              <w:t>过程</w:t>
            </w:r>
            <w:r>
              <w:rPr>
                <w:rFonts w:hint="eastAsia" w:cs="Times New Roman"/>
                <w:bCs/>
                <w:spacing w:val="10"/>
                <w:kern w:val="2"/>
                <w:sz w:val="21"/>
                <w:szCs w:val="22"/>
                <w:lang w:val="en-US" w:eastAsia="zh-CN" w:bidi="ar-SA"/>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lang w:eastAsia="zh-CN"/>
              </w:rPr>
              <w:t>软件开发</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pStyle w:val="2"/>
              <w:rPr>
                <w:rFonts w:hint="eastAsia" w:ascii="宋体" w:hAnsi="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主要</w:t>
            </w:r>
            <w:r>
              <w:rPr>
                <w:rFonts w:hint="eastAsia" w:ascii="宋体" w:hAnsi="宋体" w:cs="Times New Roman"/>
                <w:bCs w:val="0"/>
                <w:color w:val="auto"/>
                <w:spacing w:val="0"/>
                <w:kern w:val="2"/>
                <w:sz w:val="20"/>
                <w:szCs w:val="20"/>
                <w:lang w:val="en-US" w:eastAsia="zh-CN" w:bidi="ar-SA"/>
              </w:rPr>
              <w:t>软件开发</w:t>
            </w:r>
            <w:r>
              <w:rPr>
                <w:rFonts w:hint="eastAsia" w:ascii="宋体" w:hAnsi="宋体" w:eastAsia="宋体" w:cs="Times New Roman"/>
                <w:bCs w:val="0"/>
                <w:color w:val="auto"/>
                <w:spacing w:val="0"/>
                <w:kern w:val="2"/>
                <w:sz w:val="20"/>
                <w:szCs w:val="20"/>
                <w:lang w:val="en-US" w:eastAsia="zh-CN" w:bidi="ar-SA"/>
              </w:rPr>
              <w:t>设备：计算机、打印机</w:t>
            </w:r>
            <w:r>
              <w:rPr>
                <w:rFonts w:hint="eastAsia" w:ascii="宋体" w:hAnsi="宋体" w:cs="Times New Roman"/>
                <w:bCs w:val="0"/>
                <w:color w:val="auto"/>
                <w:spacing w:val="0"/>
                <w:kern w:val="2"/>
                <w:sz w:val="20"/>
                <w:szCs w:val="20"/>
                <w:lang w:val="en-US" w:eastAsia="zh-CN" w:bidi="ar-SA"/>
              </w:rPr>
              <w:t>、云服务器</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操作系统：windows10</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开发工具：spring-tool-suite-3.9.6.RELEASE-e4.9.0</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数据库：Mysql_5.7.24</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数据库可视化工具：navicat</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界面设计：HBuilderX</w:t>
            </w:r>
          </w:p>
          <w:p>
            <w:pPr>
              <w:jc w:val="left"/>
              <w:rPr>
                <w:rFonts w:hint="default"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数据传输测试工具：Postman</w:t>
            </w:r>
          </w:p>
          <w:p>
            <w:pPr>
              <w:jc w:val="left"/>
              <w:rPr>
                <w:rFonts w:hint="default" w:ascii="宋体" w:hAnsi="宋体" w:cs="Times New Roman"/>
                <w:bCs w:val="0"/>
                <w:color w:val="FF0000"/>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开发语言:Java1.8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pStyle w:val="2"/>
              <w:rPr>
                <w:rFonts w:hint="eastAsia" w:ascii="宋体" w:hAnsi="宋体" w:cs="Times New Roman"/>
                <w:bCs w:val="0"/>
                <w:color w:val="auto"/>
                <w:spacing w:val="0"/>
                <w:kern w:val="2"/>
                <w:sz w:val="20"/>
                <w:szCs w:val="20"/>
                <w:lang w:val="en-US" w:eastAsia="zh-CN" w:bidi="ar-SA"/>
              </w:rPr>
            </w:pPr>
            <w:r>
              <w:rPr>
                <w:rFonts w:hint="eastAsia" w:ascii="宋体"/>
                <w:color w:val="000000"/>
                <w:sz w:val="20"/>
                <w:szCs w:val="20"/>
              </w:rPr>
              <w:t>监视和测量设备（请简述主要监视和测量设备）：</w:t>
            </w:r>
            <w:r>
              <w:rPr>
                <w:rFonts w:hint="eastAsia" w:ascii="宋体" w:hAnsi="宋体" w:cs="Times New Roman"/>
                <w:bCs w:val="0"/>
                <w:color w:val="auto"/>
                <w:spacing w:val="0"/>
                <w:kern w:val="2"/>
                <w:sz w:val="20"/>
                <w:szCs w:val="20"/>
                <w:lang w:val="en-US" w:eastAsia="zh-CN" w:bidi="ar-SA"/>
              </w:rPr>
              <w:t>云服务器</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操作系统：windows10</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开发工具：spring-tool-suite-3.9.6.RELEASE-e4.9.0</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数据库：Mysql_5.7.24</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数据库可视化工具：navicat</w:t>
            </w:r>
          </w:p>
          <w:p>
            <w:pPr>
              <w:jc w:val="left"/>
              <w:rPr>
                <w:rFonts w:hint="eastAsia"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界面设计：HBuilderX</w:t>
            </w:r>
          </w:p>
          <w:p>
            <w:pPr>
              <w:jc w:val="left"/>
              <w:rPr>
                <w:rFonts w:hint="default" w:ascii="宋体" w:hAnsi="宋体" w:eastAsia="宋体" w:cs="Times New Roman"/>
                <w:bCs w:val="0"/>
                <w:color w:val="auto"/>
                <w:spacing w:val="0"/>
                <w:kern w:val="2"/>
                <w:sz w:val="20"/>
                <w:szCs w:val="20"/>
                <w:lang w:val="en-US" w:eastAsia="zh-CN" w:bidi="ar-SA"/>
              </w:rPr>
            </w:pPr>
            <w:r>
              <w:rPr>
                <w:rFonts w:hint="eastAsia" w:ascii="宋体" w:hAnsi="宋体" w:eastAsia="宋体" w:cs="Times New Roman"/>
                <w:bCs w:val="0"/>
                <w:color w:val="auto"/>
                <w:spacing w:val="0"/>
                <w:kern w:val="2"/>
                <w:sz w:val="20"/>
                <w:szCs w:val="20"/>
                <w:lang w:val="en-US" w:eastAsia="zh-CN" w:bidi="ar-SA"/>
              </w:rPr>
              <w:t>数据传输测试工具：Postman</w:t>
            </w:r>
          </w:p>
          <w:p>
            <w:pPr>
              <w:rPr>
                <w:rFonts w:hint="eastAsia" w:eastAsia="宋体" w:cs="Lucida Sans"/>
                <w:b/>
                <w:szCs w:val="20"/>
                <w:lang w:val="en-US" w:eastAsia="zh-CN"/>
              </w:rPr>
            </w:pPr>
            <w:r>
              <w:rPr>
                <w:rFonts w:hint="eastAsia" w:ascii="宋体" w:hAnsi="宋体" w:eastAsia="宋体" w:cs="Times New Roman"/>
                <w:bCs w:val="0"/>
                <w:color w:val="auto"/>
                <w:spacing w:val="0"/>
                <w:kern w:val="2"/>
                <w:sz w:val="20"/>
                <w:szCs w:val="20"/>
                <w:lang w:val="en-US" w:eastAsia="zh-CN" w:bidi="ar-SA"/>
              </w:rPr>
              <w:t>开发语言:Java1.8</w:t>
            </w:r>
          </w:p>
          <w:p>
            <w:pPr>
              <w:pStyle w:val="2"/>
              <w:rPr>
                <w:rFonts w:hint="eastAsia" w:eastAsia="宋体"/>
                <w:lang w:val="en-US" w:eastAsia="zh-CN"/>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color w:val="000000"/>
                <w:sz w:val="20"/>
                <w:szCs w:val="20"/>
                <w:lang w:val="en-US" w:eastAsia="zh-CN"/>
              </w:rPr>
              <w:t>软件开发</w:t>
            </w:r>
            <w:bookmarkStart w:id="6" w:name="_GoBack"/>
            <w:bookmarkEnd w:id="6"/>
            <w:r>
              <w:rPr>
                <w:rFonts w:hint="eastAsia" w:ascii="宋体"/>
                <w:color w:val="000000"/>
                <w:sz w:val="20"/>
                <w:szCs w:val="2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ascii="宋体"/>
                <w:color w:val="000000"/>
                <w:sz w:val="20"/>
                <w:szCs w:val="20"/>
              </w:rPr>
              <w:sym w:font="Wingdings" w:char="00A8"/>
            </w:r>
            <w:r>
              <w:rPr>
                <w:rFonts w:hint="eastAsia" w:ascii="宋体"/>
                <w:color w:val="000000"/>
                <w:sz w:val="20"/>
                <w:szCs w:val="20"/>
              </w:rPr>
              <w:t>是□否</w:t>
            </w:r>
            <w:r>
              <w:rPr>
                <w:rFonts w:hint="eastAsia" w:ascii="宋体" w:hAnsi="宋体" w:cs="宋体"/>
                <w:color w:val="000000"/>
                <w:sz w:val="20"/>
                <w:szCs w:val="20"/>
              </w:rPr>
              <w:sym w:font="Wingdings" w:char="00A8"/>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ascii="宋体"/>
                <w:color w:val="000000"/>
                <w:sz w:val="20"/>
                <w:szCs w:val="20"/>
              </w:rPr>
              <w:sym w:font="Wingdings" w:char="00A8"/>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color w:val="000000"/>
                <w:sz w:val="20"/>
                <w:szCs w:val="20"/>
              </w:rPr>
              <w:t>是□否</w:t>
            </w:r>
            <w:r>
              <w:rPr>
                <w:rFonts w:hint="eastAsia" w:ascii="宋体" w:hAnsi="宋体" w:cs="宋体"/>
                <w:color w:val="000000"/>
                <w:sz w:val="20"/>
                <w:szCs w:val="20"/>
              </w:rPr>
              <w:sym w:font="Wingdings" w:char="00A8"/>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w:t>
            </w:r>
            <w:r>
              <w:rPr>
                <w:rFonts w:hint="eastAsia" w:ascii="宋体" w:hAnsi="宋体"/>
                <w:b/>
                <w:color w:val="000000"/>
                <w:sz w:val="20"/>
                <w:szCs w:val="20"/>
                <w:lang w:val="en-US" w:eastAsia="zh-CN"/>
              </w:rPr>
              <w:t>技术</w:t>
            </w:r>
            <w:r>
              <w:rPr>
                <w:rFonts w:hint="eastAsia" w:ascii="宋体" w:hAnsi="宋体"/>
                <w:b/>
                <w:color w:val="000000"/>
                <w:sz w:val="20"/>
                <w:szCs w:val="20"/>
              </w:rPr>
              <w:t>部</w:t>
            </w:r>
          </w:p>
          <w:p>
            <w:pPr>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lang w:eastAsia="zh-CN"/>
              </w:rPr>
              <w:t>软件开发</w:t>
            </w:r>
            <w:r>
              <w:rPr>
                <w:rFonts w:hint="eastAsia"/>
                <w:lang w:val="en-US" w:eastAsia="zh-CN"/>
              </w:rPr>
              <w:t>过程</w:t>
            </w:r>
          </w:p>
          <w:p>
            <w:pPr>
              <w:rPr>
                <w:rFonts w:hint="default"/>
                <w:lang w:val="en-US" w:eastAsia="zh-CN"/>
              </w:rPr>
            </w:pPr>
            <w:r>
              <w:rPr>
                <w:rFonts w:hint="eastAsia" w:ascii="宋体" w:hAnsi="宋体"/>
                <w:b/>
                <w:color w:val="000000"/>
                <w:sz w:val="20"/>
                <w:szCs w:val="20"/>
              </w:rPr>
              <w:t>重点审核场所：</w:t>
            </w:r>
            <w:r>
              <w:rPr>
                <w:rFonts w:hint="eastAsia"/>
                <w:lang w:eastAsia="zh-CN"/>
              </w:rPr>
              <w:t>软件开发</w:t>
            </w:r>
            <w:r>
              <w:rPr>
                <w:rFonts w:hint="eastAsia"/>
                <w:lang w:val="en-US" w:eastAsia="zh-CN"/>
              </w:rPr>
              <w:t>场所</w:t>
            </w:r>
          </w:p>
          <w:p>
            <w:pPr>
              <w:spacing w:line="360" w:lineRule="auto"/>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 xml:space="preserve"> 公司于</w:t>
            </w:r>
            <w:r>
              <w:rPr>
                <w:rFonts w:hint="eastAsia" w:ascii="宋体" w:hAnsi="宋体"/>
                <w:szCs w:val="21"/>
                <w:lang w:val="zh-CN" w:eastAsia="zh-CN"/>
              </w:rPr>
              <w:t>2020年9月6日</w:t>
            </w:r>
            <w:r>
              <w:rPr>
                <w:rFonts w:hint="eastAsia" w:ascii="宋体" w:hAnsi="宋体"/>
                <w:szCs w:val="21"/>
                <w:lang w:val="zh-CN"/>
              </w:rPr>
              <w:t>进行了内部审核，组长：高文      组员： 汪甜甜、杜继强、温国栋，均经授权，形成了内部审核报告，审核发现不符合项1个，一般不符合。审核后责任部门，对不符合项均采取了纠正措施并已进行了验证，全部封闭。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Cs w:val="21"/>
              </w:rPr>
              <w:sym w:font="Wingdings" w:char="00A8"/>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FF0000"/>
                <w:sz w:val="20"/>
                <w:szCs w:val="20"/>
              </w:rPr>
            </w:pPr>
            <w:r>
              <w:rPr>
                <w:rFonts w:hint="eastAsia" w:ascii="宋体" w:hAnsi="宋体" w:eastAsia="宋体" w:cs="宋体"/>
                <w:b/>
                <w:color w:val="FF0000"/>
                <w:spacing w:val="-10"/>
                <w:sz w:val="20"/>
                <w:szCs w:val="20"/>
                <w:lang w:eastAsia="zh-CN"/>
              </w:rPr>
              <w:t>▉</w:t>
            </w:r>
            <w:r>
              <w:rPr>
                <w:rFonts w:hint="eastAsia" w:ascii="宋体" w:hAnsi="宋体"/>
                <w:b/>
                <w:color w:val="FF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w:char="00A8"/>
      </w:r>
      <w:r>
        <w:rPr>
          <w:rFonts w:hint="eastAsia" w:ascii="宋体" w:hAnsi="宋体"/>
          <w:b/>
          <w:color w:val="000000"/>
          <w:sz w:val="20"/>
          <w:szCs w:val="20"/>
        </w:rPr>
        <w:t>范围有变化，与组织最终确定二阶段范围是：</w:t>
      </w:r>
    </w:p>
    <w:p>
      <w:pPr>
        <w:pStyle w:val="2"/>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hint="eastAsia"/>
          <w:lang w:eastAsia="zh-CN"/>
        </w:rPr>
      </w:pPr>
      <w:r>
        <w:rPr>
          <w:rFonts w:hint="eastAsia" w:eastAsia="隶书"/>
          <w:color w:val="000000"/>
          <w:sz w:val="28"/>
          <w:szCs w:val="28"/>
        </w:rPr>
        <w:t>受审核方：</w:t>
      </w:r>
      <w:r>
        <w:rPr>
          <w:color w:val="000000"/>
          <w:szCs w:val="21"/>
        </w:rPr>
        <w:t>东方惠和科技集团有限公司</w:t>
      </w:r>
    </w:p>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eastAsia="zh-CN"/>
              </w:rPr>
            </w:pPr>
            <w:r>
              <w:rPr>
                <w:rFonts w:hint="eastAsia"/>
                <w:color w:val="000000"/>
                <w:sz w:val="24"/>
                <w:lang w:val="en-US" w:eastAsia="zh-CN"/>
              </w:rPr>
              <w:t>无</w:t>
            </w:r>
          </w:p>
          <w:p>
            <w:pPr>
              <w:pStyle w:val="2"/>
              <w:rPr>
                <w:color w:val="000000"/>
                <w:sz w:val="24"/>
              </w:rPr>
            </w:pP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12</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2020.12.25</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7DA4E24"/>
    <w:rsid w:val="0AAB511D"/>
    <w:rsid w:val="12D6052A"/>
    <w:rsid w:val="13AB5065"/>
    <w:rsid w:val="16A50E54"/>
    <w:rsid w:val="1BAC7082"/>
    <w:rsid w:val="1C7B2D17"/>
    <w:rsid w:val="1E2252C2"/>
    <w:rsid w:val="1F5A1EA8"/>
    <w:rsid w:val="22304B11"/>
    <w:rsid w:val="2B1C6D57"/>
    <w:rsid w:val="34F621AA"/>
    <w:rsid w:val="36F10BB0"/>
    <w:rsid w:val="3A1130C0"/>
    <w:rsid w:val="3BE052AD"/>
    <w:rsid w:val="3D867FA7"/>
    <w:rsid w:val="44916EE9"/>
    <w:rsid w:val="469A0AC2"/>
    <w:rsid w:val="48302905"/>
    <w:rsid w:val="49916B26"/>
    <w:rsid w:val="4AED3214"/>
    <w:rsid w:val="4CEA5433"/>
    <w:rsid w:val="4E7F1263"/>
    <w:rsid w:val="560832DF"/>
    <w:rsid w:val="59000032"/>
    <w:rsid w:val="5AA57EC5"/>
    <w:rsid w:val="66F4186F"/>
    <w:rsid w:val="6CFC1B86"/>
    <w:rsid w:val="743556D8"/>
    <w:rsid w:val="77090391"/>
    <w:rsid w:val="78A94E73"/>
    <w:rsid w:val="7A802B18"/>
    <w:rsid w:val="7B6F6C66"/>
    <w:rsid w:val="7D825471"/>
    <w:rsid w:val="7F172E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 w:type="character" w:customStyle="1" w:styleId="16">
    <w:name w:val="Char Char2"/>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0</TotalTime>
  <ScaleCrop>false</ScaleCrop>
  <LinksUpToDate>false</LinksUpToDate>
  <CharactersWithSpaces>8542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2020-12-29T02:43:54Z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