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德阳中大电力成套设备制造有限公司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刘承英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left="421" w:leftChars="100" w:hanging="211" w:hangingChars="1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查供方管理，</w:t>
            </w:r>
            <w:r>
              <w:rPr>
                <w:rFonts w:hint="eastAsia" w:ascii="方正仿宋简体" w:eastAsia="方正仿宋简体"/>
                <w:b/>
              </w:rPr>
              <w:t>未能提供德阳市讯通科技有限公司 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提供：</w:t>
            </w:r>
            <w:r>
              <w:rPr>
                <w:rFonts w:hint="eastAsia" w:ascii="方正仿宋简体" w:eastAsia="方正仿宋简体"/>
                <w:b/>
              </w:rPr>
              <w:t>表面处理、热处理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）供方评价资料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</w:t>
            </w:r>
          </w:p>
          <w:p>
            <w:pPr>
              <w:spacing w:before="120" w:line="240" w:lineRule="auto"/>
              <w:ind w:left="421" w:leftChars="100" w:hanging="211" w:hanging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合策划和标准</w:t>
            </w:r>
            <w:r>
              <w:rPr>
                <w:rFonts w:hint="eastAsia" w:ascii="方正仿宋简体" w:eastAsia="方正仿宋简体"/>
                <w:b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  日 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F60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6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2020-12-26T01:03:37Z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