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2050" o:spt="75" type="#_x0000_t75" style="position:absolute;left:0pt;margin-left:169.75pt;margin-top:-36.8pt;height:117.35pt;width:135.75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hint="eastAsia" w:ascii="楷体" w:hAnsi="楷体" w:eastAsia="楷体" w:cs="Times New Roman"/>
          <w:b/>
          <w:color w:val="000000"/>
          <w:sz w:val="32"/>
          <w:szCs w:val="32"/>
        </w:rPr>
      </w:pPr>
      <w:r>
        <w:rPr>
          <w:rFonts w:hint="eastAsia" w:ascii="楷体" w:hAnsi="楷体" w:eastAsia="楷体"/>
          <w:b/>
          <w:color w:val="000000"/>
          <w:sz w:val="32"/>
          <w:szCs w:val="32"/>
        </w:rPr>
        <w:t>受审核方：</w:t>
      </w:r>
      <w:bookmarkStart w:id="0" w:name="组织名称"/>
      <w:r>
        <w:rPr>
          <w:rFonts w:hint="eastAsia" w:ascii="楷体" w:hAnsi="楷体" w:eastAsia="楷体" w:cs="Times New Roman"/>
          <w:b/>
          <w:color w:val="000000"/>
          <w:sz w:val="32"/>
          <w:szCs w:val="32"/>
        </w:rPr>
        <w:t>重庆市重点产业人力资源服务有限公司</w:t>
      </w:r>
      <w:bookmarkEnd w:id="0"/>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1" w:name="Q勾选15"/>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2" w:name="E勾选"/>
      <w:r>
        <w:rPr>
          <w:rFonts w:hint="eastAsia" w:ascii="楷体" w:hAnsi="楷体" w:eastAsia="楷体"/>
          <w:b/>
          <w:color w:val="000000"/>
          <w:sz w:val="32"/>
          <w:szCs w:val="32"/>
        </w:rPr>
        <w:t>■</w:t>
      </w:r>
      <w:bookmarkEnd w:id="2"/>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S勾选"/>
      <w:r>
        <w:rPr>
          <w:rFonts w:hint="eastAsia" w:ascii="楷体" w:hAnsi="楷体" w:eastAsia="楷体"/>
          <w:b/>
          <w:color w:val="000000"/>
          <w:sz w:val="32"/>
          <w:szCs w:val="32"/>
        </w:rPr>
        <w:t>■</w:t>
      </w:r>
      <w:bookmarkEnd w:id="3"/>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hint="eastAsia"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fldChar w:fldCharType="begin"/>
      </w:r>
      <w:r>
        <w:rPr>
          <w:rFonts w:ascii="楷体" w:hAnsi="楷体" w:eastAsia="楷体"/>
          <w:b/>
          <w:color w:val="000000"/>
          <w:sz w:val="36"/>
          <w:szCs w:val="36"/>
        </w:rPr>
        <w:instrText xml:space="preserve"> HYPERLINK "http://www.china-isc.org.cn" </w:instrText>
      </w:r>
      <w:r>
        <w:rPr>
          <w:rFonts w:ascii="楷体" w:hAnsi="楷体" w:eastAsia="楷体"/>
          <w:b/>
          <w:color w:val="000000"/>
          <w:sz w:val="36"/>
          <w:szCs w:val="36"/>
        </w:rPr>
        <w:fldChar w:fldCharType="separate"/>
      </w:r>
      <w:r>
        <w:rPr>
          <w:rStyle w:val="9"/>
          <w:rFonts w:ascii="楷体" w:hAnsi="楷体" w:eastAsia="楷体"/>
          <w:b/>
          <w:sz w:val="36"/>
          <w:szCs w:val="36"/>
        </w:rPr>
        <w:t>www.</w:t>
      </w:r>
      <w:r>
        <w:rPr>
          <w:rStyle w:val="9"/>
          <w:rFonts w:hint="eastAsia" w:ascii="楷体" w:hAnsi="楷体" w:eastAsia="楷体"/>
          <w:b/>
          <w:sz w:val="36"/>
          <w:szCs w:val="36"/>
        </w:rPr>
        <w:t>china-isc.org.cn</w:t>
      </w:r>
      <w:r>
        <w:rPr>
          <w:rFonts w:ascii="楷体" w:hAnsi="楷体" w:eastAsia="楷体"/>
          <w:b/>
          <w:color w:val="000000"/>
          <w:sz w:val="36"/>
          <w:szCs w:val="36"/>
        </w:rPr>
        <w:fldChar w:fldCharType="end"/>
      </w:r>
    </w:p>
    <w:p>
      <w:pPr>
        <w:widowControl/>
        <w:ind w:firstLine="2512" w:firstLineChars="695"/>
        <w:jc w:val="left"/>
        <w:rPr>
          <w:rFonts w:hint="eastAsia" w:ascii="楷体" w:hAnsi="楷体" w:eastAsia="楷体"/>
          <w:b/>
          <w:color w:val="000000"/>
          <w:sz w:val="36"/>
          <w:szCs w:val="36"/>
        </w:rPr>
      </w:pPr>
    </w:p>
    <w:p>
      <w:pPr>
        <w:widowControl/>
        <w:ind w:firstLine="2512" w:firstLineChars="695"/>
        <w:jc w:val="left"/>
        <w:rPr>
          <w:rFonts w:hint="eastAsia" w:ascii="楷体" w:hAnsi="楷体" w:eastAsia="楷体"/>
          <w:b/>
          <w:color w:val="000000"/>
          <w:sz w:val="36"/>
          <w:szCs w:val="36"/>
        </w:rPr>
      </w:pP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6"/>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168"/>
        <w:gridCol w:w="840"/>
        <w:gridCol w:w="1524"/>
        <w:gridCol w:w="2286"/>
        <w:gridCol w:w="311"/>
        <w:gridCol w:w="682"/>
        <w:gridCol w:w="850"/>
        <w:gridCol w:w="83"/>
        <w:gridCol w:w="1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9"/>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6"/>
          </w:tcPr>
          <w:p>
            <w:pPr>
              <w:rPr>
                <w:b/>
                <w:sz w:val="21"/>
                <w:szCs w:val="21"/>
              </w:rPr>
            </w:pPr>
            <w:r>
              <w:rPr>
                <w:rFonts w:hint="eastAsia"/>
                <w:b/>
                <w:sz w:val="21"/>
                <w:szCs w:val="21"/>
              </w:rPr>
              <w:t>北京市朝阳区北苑路168号1号楼16层1603</w:t>
            </w:r>
          </w:p>
        </w:tc>
        <w:tc>
          <w:tcPr>
            <w:tcW w:w="850" w:type="dxa"/>
          </w:tcPr>
          <w:p>
            <w:pPr>
              <w:rPr>
                <w:b/>
                <w:sz w:val="21"/>
                <w:szCs w:val="21"/>
              </w:rPr>
            </w:pPr>
            <w:r>
              <w:rPr>
                <w:rFonts w:hint="eastAsia"/>
                <w:b/>
                <w:sz w:val="21"/>
                <w:szCs w:val="21"/>
              </w:rPr>
              <w:t>邮编</w:t>
            </w:r>
          </w:p>
        </w:tc>
        <w:tc>
          <w:tcPr>
            <w:tcW w:w="1614" w:type="dxa"/>
            <w:gridSpan w:val="2"/>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9"/>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1"/>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709" w:type="dxa"/>
            <w:gridSpan w:val="2"/>
            <w:vAlign w:val="center"/>
          </w:tcPr>
          <w:p>
            <w:pPr>
              <w:jc w:val="center"/>
              <w:rPr>
                <w:b/>
                <w:sz w:val="21"/>
                <w:szCs w:val="21"/>
              </w:rPr>
            </w:pPr>
            <w:r>
              <w:rPr>
                <w:rFonts w:hint="eastAsia"/>
                <w:b/>
                <w:sz w:val="21"/>
                <w:szCs w:val="21"/>
              </w:rPr>
              <w:t>性别</w:t>
            </w:r>
          </w:p>
        </w:tc>
        <w:tc>
          <w:tcPr>
            <w:tcW w:w="840" w:type="dxa"/>
            <w:vAlign w:val="center"/>
          </w:tcPr>
          <w:p>
            <w:pPr>
              <w:jc w:val="center"/>
              <w:rPr>
                <w:b/>
                <w:sz w:val="21"/>
                <w:szCs w:val="21"/>
              </w:rPr>
            </w:pPr>
            <w:r>
              <w:rPr>
                <w:rFonts w:hint="eastAsia"/>
                <w:b/>
                <w:sz w:val="21"/>
                <w:szCs w:val="21"/>
              </w:rPr>
              <w:t>职务</w:t>
            </w:r>
          </w:p>
        </w:tc>
        <w:tc>
          <w:tcPr>
            <w:tcW w:w="1524" w:type="dxa"/>
            <w:vAlign w:val="center"/>
          </w:tcPr>
          <w:p>
            <w:pPr>
              <w:jc w:val="center"/>
              <w:rPr>
                <w:b/>
                <w:sz w:val="21"/>
                <w:szCs w:val="21"/>
              </w:rPr>
            </w:pPr>
            <w:r>
              <w:rPr>
                <w:rFonts w:hint="eastAsia"/>
                <w:b/>
                <w:sz w:val="21"/>
                <w:szCs w:val="21"/>
              </w:rPr>
              <w:t>注册级别</w:t>
            </w:r>
          </w:p>
        </w:tc>
        <w:tc>
          <w:tcPr>
            <w:tcW w:w="2286" w:type="dxa"/>
            <w:vAlign w:val="center"/>
          </w:tcPr>
          <w:p>
            <w:pPr>
              <w:jc w:val="center"/>
              <w:rPr>
                <w:b/>
                <w:sz w:val="21"/>
                <w:szCs w:val="21"/>
              </w:rPr>
            </w:pPr>
            <w:r>
              <w:rPr>
                <w:rFonts w:hint="eastAsia"/>
                <w:b/>
                <w:sz w:val="21"/>
                <w:szCs w:val="21"/>
              </w:rPr>
              <w:t>审核员注册号</w:t>
            </w:r>
          </w:p>
        </w:tc>
        <w:tc>
          <w:tcPr>
            <w:tcW w:w="1926" w:type="dxa"/>
            <w:gridSpan w:val="4"/>
            <w:vAlign w:val="center"/>
          </w:tcPr>
          <w:p>
            <w:pPr>
              <w:jc w:val="center"/>
              <w:rPr>
                <w:b/>
                <w:sz w:val="21"/>
                <w:szCs w:val="21"/>
              </w:rPr>
            </w:pPr>
            <w:r>
              <w:rPr>
                <w:rFonts w:hint="eastAsia"/>
                <w:b/>
                <w:sz w:val="21"/>
                <w:szCs w:val="21"/>
              </w:rPr>
              <w:t>专业代码</w:t>
            </w:r>
          </w:p>
        </w:tc>
        <w:tc>
          <w:tcPr>
            <w:tcW w:w="1531" w:type="dxa"/>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文平</w:t>
            </w:r>
          </w:p>
        </w:tc>
        <w:tc>
          <w:tcPr>
            <w:tcW w:w="709" w:type="dxa"/>
            <w:gridSpan w:val="2"/>
            <w:vAlign w:val="center"/>
          </w:tcPr>
          <w:p>
            <w:pPr>
              <w:jc w:val="center"/>
              <w:rPr>
                <w:b/>
                <w:sz w:val="21"/>
                <w:szCs w:val="21"/>
              </w:rPr>
            </w:pPr>
            <w:r>
              <w:rPr>
                <w:b/>
                <w:sz w:val="21"/>
                <w:szCs w:val="21"/>
              </w:rPr>
              <w:t>男</w:t>
            </w:r>
          </w:p>
        </w:tc>
        <w:tc>
          <w:tcPr>
            <w:tcW w:w="840" w:type="dxa"/>
            <w:vAlign w:val="center"/>
          </w:tcPr>
          <w:p>
            <w:pPr>
              <w:jc w:val="center"/>
              <w:rPr>
                <w:b/>
                <w:sz w:val="21"/>
                <w:szCs w:val="21"/>
              </w:rPr>
            </w:pPr>
            <w:r>
              <w:rPr>
                <w:b/>
                <w:sz w:val="21"/>
                <w:szCs w:val="21"/>
              </w:rPr>
              <w:t>组长</w:t>
            </w:r>
          </w:p>
        </w:tc>
        <w:tc>
          <w:tcPr>
            <w:tcW w:w="1524" w:type="dxa"/>
            <w:vAlign w:val="center"/>
          </w:tcPr>
          <w:p>
            <w:pPr>
              <w:jc w:val="center"/>
              <w:rPr>
                <w:b/>
                <w:sz w:val="21"/>
                <w:szCs w:val="21"/>
              </w:rPr>
            </w:pPr>
            <w:r>
              <w:rPr>
                <w:b/>
                <w:sz w:val="21"/>
                <w:szCs w:val="21"/>
              </w:rPr>
              <w:t>Q:审核员</w:t>
            </w:r>
          </w:p>
          <w:p>
            <w:pPr>
              <w:jc w:val="center"/>
              <w:rPr>
                <w:b/>
                <w:sz w:val="21"/>
                <w:szCs w:val="21"/>
              </w:rPr>
            </w:pPr>
            <w:r>
              <w:rPr>
                <w:b/>
                <w:sz w:val="21"/>
                <w:szCs w:val="21"/>
              </w:rPr>
              <w:t>O:审核员</w:t>
            </w:r>
          </w:p>
          <w:p>
            <w:pPr>
              <w:jc w:val="center"/>
              <w:rPr>
                <w:b/>
                <w:sz w:val="21"/>
                <w:szCs w:val="21"/>
              </w:rPr>
            </w:pPr>
            <w:r>
              <w:rPr>
                <w:b/>
                <w:sz w:val="21"/>
                <w:szCs w:val="21"/>
              </w:rPr>
              <w:t>E:审核员</w:t>
            </w:r>
          </w:p>
        </w:tc>
        <w:tc>
          <w:tcPr>
            <w:tcW w:w="2286" w:type="dxa"/>
            <w:vAlign w:val="center"/>
          </w:tcPr>
          <w:p>
            <w:pPr>
              <w:jc w:val="center"/>
              <w:rPr>
                <w:b/>
                <w:sz w:val="21"/>
                <w:szCs w:val="21"/>
              </w:rPr>
            </w:pPr>
            <w:r>
              <w:rPr>
                <w:b/>
                <w:sz w:val="21"/>
                <w:szCs w:val="21"/>
              </w:rPr>
              <w:t>2019-N1QMS-3093566</w:t>
            </w:r>
          </w:p>
          <w:p>
            <w:pPr>
              <w:jc w:val="center"/>
              <w:rPr>
                <w:b/>
                <w:sz w:val="21"/>
                <w:szCs w:val="21"/>
              </w:rPr>
            </w:pPr>
            <w:r>
              <w:rPr>
                <w:b/>
                <w:sz w:val="21"/>
                <w:szCs w:val="21"/>
              </w:rPr>
              <w:t>2019-N1OHSMS-2093566</w:t>
            </w:r>
          </w:p>
          <w:p>
            <w:pPr>
              <w:jc w:val="center"/>
              <w:rPr>
                <w:b/>
                <w:sz w:val="21"/>
                <w:szCs w:val="21"/>
              </w:rPr>
            </w:pPr>
            <w:r>
              <w:rPr>
                <w:b/>
                <w:sz w:val="21"/>
                <w:szCs w:val="21"/>
              </w:rPr>
              <w:t>2018-N1EMS-2093566</w:t>
            </w:r>
          </w:p>
        </w:tc>
        <w:tc>
          <w:tcPr>
            <w:tcW w:w="1926" w:type="dxa"/>
            <w:gridSpan w:val="4"/>
            <w:vAlign w:val="center"/>
          </w:tcPr>
          <w:p>
            <w:pPr>
              <w:jc w:val="center"/>
              <w:rPr>
                <w:b/>
                <w:sz w:val="21"/>
                <w:szCs w:val="21"/>
              </w:rPr>
            </w:pPr>
            <w:r>
              <w:rPr>
                <w:b/>
                <w:sz w:val="21"/>
                <w:szCs w:val="21"/>
              </w:rPr>
              <w:t>Q:33.02.01,35.10.00</w:t>
            </w:r>
          </w:p>
          <w:p>
            <w:pPr>
              <w:jc w:val="center"/>
              <w:rPr>
                <w:b/>
                <w:sz w:val="21"/>
                <w:szCs w:val="21"/>
              </w:rPr>
            </w:pPr>
            <w:r>
              <w:rPr>
                <w:b/>
                <w:sz w:val="21"/>
                <w:szCs w:val="21"/>
              </w:rPr>
              <w:t>O:33.02.01,35.10.00,35.20.00</w:t>
            </w:r>
          </w:p>
          <w:p>
            <w:pPr>
              <w:jc w:val="center"/>
              <w:rPr>
                <w:b/>
                <w:sz w:val="21"/>
                <w:szCs w:val="21"/>
              </w:rPr>
            </w:pPr>
            <w:r>
              <w:rPr>
                <w:b/>
                <w:sz w:val="21"/>
                <w:szCs w:val="21"/>
              </w:rPr>
              <w:t>E:33.02.01,35.10.00,35.20.00</w:t>
            </w:r>
          </w:p>
        </w:tc>
        <w:tc>
          <w:tcPr>
            <w:tcW w:w="1531" w:type="dxa"/>
            <w:vAlign w:val="center"/>
          </w:tcPr>
          <w:p>
            <w:pPr>
              <w:jc w:val="center"/>
              <w:rPr>
                <w:b/>
                <w:sz w:val="21"/>
                <w:szCs w:val="21"/>
              </w:rPr>
            </w:pPr>
            <w:r>
              <w:rPr>
                <w:b/>
                <w:sz w:val="21"/>
                <w:szCs w:val="21"/>
              </w:rPr>
              <w:t>ISC-93566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张心</w:t>
            </w:r>
          </w:p>
        </w:tc>
        <w:tc>
          <w:tcPr>
            <w:tcW w:w="709" w:type="dxa"/>
            <w:gridSpan w:val="2"/>
            <w:vAlign w:val="center"/>
          </w:tcPr>
          <w:p>
            <w:pPr>
              <w:jc w:val="center"/>
              <w:rPr>
                <w:b/>
                <w:sz w:val="21"/>
                <w:szCs w:val="21"/>
              </w:rPr>
            </w:pPr>
            <w:r>
              <w:rPr>
                <w:b/>
                <w:sz w:val="21"/>
                <w:szCs w:val="21"/>
              </w:rPr>
              <w:t>女</w:t>
            </w:r>
          </w:p>
        </w:tc>
        <w:tc>
          <w:tcPr>
            <w:tcW w:w="840" w:type="dxa"/>
            <w:vAlign w:val="center"/>
          </w:tcPr>
          <w:p>
            <w:pPr>
              <w:jc w:val="center"/>
              <w:rPr>
                <w:b/>
                <w:sz w:val="21"/>
                <w:szCs w:val="21"/>
              </w:rPr>
            </w:pPr>
            <w:r>
              <w:rPr>
                <w:b/>
                <w:sz w:val="21"/>
                <w:szCs w:val="21"/>
              </w:rPr>
              <w:t>组员</w:t>
            </w:r>
          </w:p>
        </w:tc>
        <w:tc>
          <w:tcPr>
            <w:tcW w:w="1524" w:type="dxa"/>
            <w:vAlign w:val="center"/>
          </w:tcPr>
          <w:p>
            <w:pPr>
              <w:jc w:val="center"/>
              <w:rPr>
                <w:b/>
                <w:sz w:val="21"/>
                <w:szCs w:val="21"/>
              </w:rPr>
            </w:pPr>
            <w:r>
              <w:rPr>
                <w:b/>
                <w:sz w:val="21"/>
                <w:szCs w:val="21"/>
              </w:rPr>
              <w:t>Q:审核员</w:t>
            </w:r>
          </w:p>
          <w:p>
            <w:pPr>
              <w:jc w:val="center"/>
              <w:rPr>
                <w:b/>
                <w:sz w:val="21"/>
                <w:szCs w:val="21"/>
              </w:rPr>
            </w:pPr>
            <w:r>
              <w:rPr>
                <w:b/>
                <w:sz w:val="21"/>
                <w:szCs w:val="21"/>
              </w:rPr>
              <w:t>E:实习审核员</w:t>
            </w:r>
          </w:p>
          <w:p>
            <w:pPr>
              <w:jc w:val="center"/>
              <w:rPr>
                <w:b/>
                <w:sz w:val="21"/>
                <w:szCs w:val="21"/>
              </w:rPr>
            </w:pPr>
          </w:p>
        </w:tc>
        <w:tc>
          <w:tcPr>
            <w:tcW w:w="2286" w:type="dxa"/>
            <w:vAlign w:val="center"/>
          </w:tcPr>
          <w:p>
            <w:pPr>
              <w:jc w:val="center"/>
              <w:rPr>
                <w:b/>
                <w:sz w:val="21"/>
                <w:szCs w:val="21"/>
              </w:rPr>
            </w:pPr>
            <w:r>
              <w:rPr>
                <w:b/>
                <w:sz w:val="21"/>
                <w:szCs w:val="21"/>
              </w:rPr>
              <w:t>2018-N1QMS-2207381</w:t>
            </w:r>
          </w:p>
          <w:p>
            <w:pPr>
              <w:jc w:val="center"/>
              <w:rPr>
                <w:b/>
                <w:sz w:val="21"/>
                <w:szCs w:val="21"/>
              </w:rPr>
            </w:pPr>
            <w:r>
              <w:rPr>
                <w:b/>
                <w:sz w:val="21"/>
                <w:szCs w:val="21"/>
              </w:rPr>
              <w:t>2020-N0EMS-1207381</w:t>
            </w:r>
          </w:p>
        </w:tc>
        <w:tc>
          <w:tcPr>
            <w:tcW w:w="1926" w:type="dxa"/>
            <w:gridSpan w:val="4"/>
            <w:vAlign w:val="center"/>
          </w:tcPr>
          <w:p>
            <w:pPr>
              <w:jc w:val="center"/>
              <w:rPr>
                <w:b/>
                <w:sz w:val="21"/>
                <w:szCs w:val="21"/>
              </w:rPr>
            </w:pPr>
            <w:r>
              <w:rPr>
                <w:b/>
                <w:sz w:val="21"/>
                <w:szCs w:val="21"/>
              </w:rPr>
              <w:t>Q:33.02.01</w:t>
            </w:r>
          </w:p>
          <w:p>
            <w:pPr>
              <w:jc w:val="center"/>
              <w:rPr>
                <w:b/>
                <w:sz w:val="21"/>
                <w:szCs w:val="21"/>
              </w:rPr>
            </w:pPr>
            <w:r>
              <w:rPr>
                <w:b/>
                <w:sz w:val="21"/>
                <w:szCs w:val="21"/>
              </w:rPr>
              <w:t>E:33.02.01,35.10.00,35.20.00</w:t>
            </w:r>
          </w:p>
        </w:tc>
        <w:tc>
          <w:tcPr>
            <w:tcW w:w="1531" w:type="dxa"/>
            <w:vAlign w:val="center"/>
          </w:tcPr>
          <w:p>
            <w:pPr>
              <w:jc w:val="center"/>
              <w:rPr>
                <w:b/>
                <w:sz w:val="21"/>
                <w:szCs w:val="21"/>
              </w:rPr>
            </w:pPr>
            <w:r>
              <w:rPr>
                <w:b/>
                <w:sz w:val="21"/>
                <w:szCs w:val="21"/>
              </w:rPr>
              <w:t>ISC-207381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冉景洲</w:t>
            </w:r>
          </w:p>
        </w:tc>
        <w:tc>
          <w:tcPr>
            <w:tcW w:w="709" w:type="dxa"/>
            <w:gridSpan w:val="2"/>
            <w:vAlign w:val="center"/>
          </w:tcPr>
          <w:p>
            <w:pPr>
              <w:jc w:val="center"/>
              <w:rPr>
                <w:b/>
                <w:sz w:val="21"/>
                <w:szCs w:val="21"/>
              </w:rPr>
            </w:pPr>
            <w:r>
              <w:rPr>
                <w:b/>
                <w:sz w:val="21"/>
                <w:szCs w:val="21"/>
              </w:rPr>
              <w:t>女</w:t>
            </w:r>
          </w:p>
        </w:tc>
        <w:tc>
          <w:tcPr>
            <w:tcW w:w="840" w:type="dxa"/>
            <w:vAlign w:val="center"/>
          </w:tcPr>
          <w:p>
            <w:pPr>
              <w:jc w:val="center"/>
              <w:rPr>
                <w:b/>
                <w:sz w:val="21"/>
                <w:szCs w:val="21"/>
              </w:rPr>
            </w:pPr>
            <w:r>
              <w:rPr>
                <w:b/>
                <w:sz w:val="21"/>
                <w:szCs w:val="21"/>
              </w:rPr>
              <w:t>组员</w:t>
            </w:r>
          </w:p>
        </w:tc>
        <w:tc>
          <w:tcPr>
            <w:tcW w:w="1524" w:type="dxa"/>
            <w:vAlign w:val="center"/>
          </w:tcPr>
          <w:p>
            <w:pPr>
              <w:jc w:val="center"/>
              <w:rPr>
                <w:b/>
                <w:sz w:val="21"/>
                <w:szCs w:val="21"/>
              </w:rPr>
            </w:pPr>
            <w:r>
              <w:rPr>
                <w:b/>
                <w:sz w:val="21"/>
                <w:szCs w:val="21"/>
              </w:rPr>
              <w:t>Q:审核员</w:t>
            </w:r>
          </w:p>
          <w:p>
            <w:pPr>
              <w:jc w:val="center"/>
              <w:rPr>
                <w:b/>
                <w:sz w:val="21"/>
                <w:szCs w:val="21"/>
              </w:rPr>
            </w:pPr>
            <w:r>
              <w:rPr>
                <w:b/>
                <w:sz w:val="21"/>
                <w:szCs w:val="21"/>
              </w:rPr>
              <w:t>E:审核员</w:t>
            </w:r>
          </w:p>
        </w:tc>
        <w:tc>
          <w:tcPr>
            <w:tcW w:w="2286" w:type="dxa"/>
            <w:vAlign w:val="center"/>
          </w:tcPr>
          <w:p>
            <w:pPr>
              <w:jc w:val="center"/>
              <w:rPr>
                <w:b/>
                <w:sz w:val="21"/>
                <w:szCs w:val="21"/>
              </w:rPr>
            </w:pPr>
            <w:r>
              <w:rPr>
                <w:b/>
                <w:sz w:val="21"/>
                <w:szCs w:val="21"/>
              </w:rPr>
              <w:t>2020-N1QMS-1267598</w:t>
            </w:r>
          </w:p>
          <w:p>
            <w:pPr>
              <w:jc w:val="center"/>
              <w:rPr>
                <w:b/>
                <w:sz w:val="21"/>
                <w:szCs w:val="21"/>
              </w:rPr>
            </w:pPr>
            <w:r>
              <w:rPr>
                <w:b/>
                <w:sz w:val="21"/>
                <w:szCs w:val="21"/>
              </w:rPr>
              <w:t>2020-N1EMS-1267598</w:t>
            </w:r>
          </w:p>
        </w:tc>
        <w:tc>
          <w:tcPr>
            <w:tcW w:w="1926" w:type="dxa"/>
            <w:gridSpan w:val="4"/>
            <w:vAlign w:val="center"/>
          </w:tcPr>
          <w:p>
            <w:pPr>
              <w:jc w:val="center"/>
              <w:rPr>
                <w:b/>
                <w:sz w:val="21"/>
                <w:szCs w:val="21"/>
              </w:rPr>
            </w:pPr>
          </w:p>
        </w:tc>
        <w:tc>
          <w:tcPr>
            <w:tcW w:w="1531" w:type="dxa"/>
            <w:vAlign w:val="center"/>
          </w:tcPr>
          <w:p>
            <w:pPr>
              <w:jc w:val="center"/>
              <w:rPr>
                <w:b/>
                <w:sz w:val="21"/>
                <w:szCs w:val="21"/>
              </w:rPr>
            </w:pPr>
            <w:r>
              <w:rPr>
                <w:b/>
                <w:sz w:val="21"/>
                <w:szCs w:val="21"/>
              </w:rPr>
              <w:t>ISC-267598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汪兴渔</w:t>
            </w:r>
          </w:p>
        </w:tc>
        <w:tc>
          <w:tcPr>
            <w:tcW w:w="709" w:type="dxa"/>
            <w:gridSpan w:val="2"/>
            <w:vAlign w:val="center"/>
          </w:tcPr>
          <w:p>
            <w:pPr>
              <w:jc w:val="center"/>
              <w:rPr>
                <w:b/>
                <w:sz w:val="21"/>
                <w:szCs w:val="21"/>
              </w:rPr>
            </w:pPr>
            <w:r>
              <w:rPr>
                <w:rFonts w:hint="eastAsia"/>
                <w:b/>
                <w:sz w:val="21"/>
                <w:szCs w:val="21"/>
              </w:rPr>
              <w:t>男</w:t>
            </w:r>
          </w:p>
        </w:tc>
        <w:tc>
          <w:tcPr>
            <w:tcW w:w="840" w:type="dxa"/>
            <w:vAlign w:val="center"/>
          </w:tcPr>
          <w:p>
            <w:pPr>
              <w:jc w:val="center"/>
              <w:rPr>
                <w:b/>
                <w:sz w:val="21"/>
                <w:szCs w:val="21"/>
              </w:rPr>
            </w:pPr>
            <w:r>
              <w:rPr>
                <w:b/>
                <w:sz w:val="21"/>
                <w:szCs w:val="21"/>
              </w:rPr>
              <w:t>组员</w:t>
            </w:r>
          </w:p>
        </w:tc>
        <w:tc>
          <w:tcPr>
            <w:tcW w:w="1524" w:type="dxa"/>
            <w:vAlign w:val="center"/>
          </w:tcPr>
          <w:p>
            <w:pPr>
              <w:jc w:val="center"/>
              <w:rPr>
                <w:b/>
                <w:sz w:val="21"/>
                <w:szCs w:val="21"/>
              </w:rPr>
            </w:pPr>
            <w:r>
              <w:rPr>
                <w:b/>
                <w:sz w:val="21"/>
                <w:szCs w:val="21"/>
              </w:rPr>
              <w:t>Q:专家</w:t>
            </w:r>
          </w:p>
          <w:p>
            <w:pPr>
              <w:jc w:val="center"/>
              <w:rPr>
                <w:b/>
                <w:sz w:val="21"/>
                <w:szCs w:val="21"/>
              </w:rPr>
            </w:pPr>
            <w:r>
              <w:rPr>
                <w:b/>
                <w:sz w:val="21"/>
                <w:szCs w:val="21"/>
              </w:rPr>
              <w:t>O:专家</w:t>
            </w:r>
          </w:p>
          <w:p>
            <w:pPr>
              <w:jc w:val="center"/>
              <w:rPr>
                <w:b/>
                <w:sz w:val="21"/>
                <w:szCs w:val="21"/>
              </w:rPr>
            </w:pPr>
            <w:r>
              <w:rPr>
                <w:b/>
                <w:sz w:val="21"/>
                <w:szCs w:val="21"/>
              </w:rPr>
              <w:t>E:专家</w:t>
            </w:r>
          </w:p>
          <w:p>
            <w:pPr>
              <w:jc w:val="center"/>
              <w:rPr>
                <w:b/>
                <w:sz w:val="21"/>
                <w:szCs w:val="21"/>
                <w:lang w:val="en-US" w:eastAsia="zh-CN"/>
              </w:rPr>
            </w:pPr>
          </w:p>
        </w:tc>
        <w:tc>
          <w:tcPr>
            <w:tcW w:w="2597" w:type="dxa"/>
            <w:gridSpan w:val="2"/>
            <w:vAlign w:val="center"/>
          </w:tcPr>
          <w:p>
            <w:pPr>
              <w:jc w:val="center"/>
              <w:rPr>
                <w:b/>
                <w:sz w:val="21"/>
                <w:szCs w:val="21"/>
              </w:rPr>
            </w:pPr>
            <w:r>
              <w:rPr>
                <w:b/>
                <w:sz w:val="21"/>
                <w:szCs w:val="21"/>
              </w:rPr>
              <w:t>ISC-JSZJ-228</w:t>
            </w:r>
          </w:p>
          <w:p>
            <w:pPr>
              <w:jc w:val="center"/>
              <w:rPr>
                <w:b/>
                <w:sz w:val="21"/>
                <w:szCs w:val="21"/>
              </w:rPr>
            </w:pPr>
            <w:r>
              <w:rPr>
                <w:b/>
                <w:sz w:val="21"/>
                <w:szCs w:val="21"/>
              </w:rPr>
              <w:t>ISC-JSZJ-228</w:t>
            </w:r>
          </w:p>
          <w:p>
            <w:pPr>
              <w:jc w:val="center"/>
              <w:rPr>
                <w:b/>
                <w:sz w:val="21"/>
                <w:szCs w:val="21"/>
              </w:rPr>
            </w:pPr>
            <w:r>
              <w:rPr>
                <w:b/>
                <w:sz w:val="21"/>
                <w:szCs w:val="21"/>
              </w:rPr>
              <w:t>ISC-JSZJ-228</w:t>
            </w:r>
          </w:p>
          <w:p>
            <w:pPr>
              <w:jc w:val="center"/>
              <w:rPr>
                <w:b/>
                <w:sz w:val="21"/>
                <w:szCs w:val="21"/>
                <w:lang w:val="en-US" w:eastAsia="zh-CN"/>
              </w:rPr>
            </w:pPr>
            <w:r>
              <w:rPr>
                <w:b/>
                <w:sz w:val="21"/>
                <w:szCs w:val="21"/>
              </w:rPr>
              <w:t>重庆雄越会展有限公司</w:t>
            </w:r>
          </w:p>
        </w:tc>
        <w:tc>
          <w:tcPr>
            <w:tcW w:w="1615" w:type="dxa"/>
            <w:gridSpan w:val="3"/>
            <w:vAlign w:val="center"/>
          </w:tcPr>
          <w:p>
            <w:pPr>
              <w:jc w:val="center"/>
              <w:rPr>
                <w:b/>
                <w:sz w:val="21"/>
                <w:szCs w:val="21"/>
              </w:rPr>
            </w:pPr>
            <w:r>
              <w:rPr>
                <w:b/>
                <w:sz w:val="21"/>
                <w:szCs w:val="21"/>
              </w:rPr>
              <w:t>Q:35.20.00</w:t>
            </w:r>
          </w:p>
          <w:p>
            <w:pPr>
              <w:jc w:val="center"/>
              <w:rPr>
                <w:b/>
                <w:sz w:val="21"/>
                <w:szCs w:val="21"/>
              </w:rPr>
            </w:pPr>
            <w:r>
              <w:rPr>
                <w:b/>
                <w:sz w:val="21"/>
                <w:szCs w:val="21"/>
              </w:rPr>
              <w:t>O:35.20.00</w:t>
            </w:r>
          </w:p>
          <w:p>
            <w:pPr>
              <w:jc w:val="center"/>
              <w:rPr>
                <w:b/>
                <w:sz w:val="21"/>
                <w:szCs w:val="21"/>
              </w:rPr>
            </w:pPr>
            <w:r>
              <w:rPr>
                <w:b/>
                <w:sz w:val="21"/>
                <w:szCs w:val="21"/>
              </w:rPr>
              <w:t>E:35.20.00</w:t>
            </w:r>
          </w:p>
        </w:tc>
        <w:tc>
          <w:tcPr>
            <w:tcW w:w="1531" w:type="dxa"/>
            <w:vAlign w:val="center"/>
          </w:tcPr>
          <w:p>
            <w:pPr>
              <w:jc w:val="center"/>
              <w:rPr>
                <w:b/>
                <w:sz w:val="21"/>
                <w:szCs w:val="21"/>
              </w:rPr>
            </w:pPr>
            <w:r>
              <w:rPr>
                <w:b/>
                <w:sz w:val="21"/>
                <w:szCs w:val="21"/>
              </w:rPr>
              <w:t>ISC-JSZJ-228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1"/>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709" w:type="dxa"/>
            <w:gridSpan w:val="2"/>
            <w:vAlign w:val="center"/>
          </w:tcPr>
          <w:p>
            <w:pPr>
              <w:jc w:val="center"/>
              <w:rPr>
                <w:b/>
                <w:sz w:val="21"/>
                <w:szCs w:val="21"/>
              </w:rPr>
            </w:pPr>
            <w:r>
              <w:rPr>
                <w:rFonts w:hint="eastAsia"/>
                <w:b/>
                <w:sz w:val="21"/>
                <w:szCs w:val="21"/>
              </w:rPr>
              <w:t>性别</w:t>
            </w:r>
          </w:p>
        </w:tc>
        <w:tc>
          <w:tcPr>
            <w:tcW w:w="840" w:type="dxa"/>
            <w:vAlign w:val="center"/>
          </w:tcPr>
          <w:p>
            <w:pPr>
              <w:jc w:val="center"/>
              <w:rPr>
                <w:b/>
                <w:sz w:val="21"/>
                <w:szCs w:val="21"/>
              </w:rPr>
            </w:pPr>
            <w:r>
              <w:rPr>
                <w:rFonts w:hint="eastAsia"/>
                <w:b/>
                <w:sz w:val="21"/>
                <w:szCs w:val="21"/>
              </w:rPr>
              <w:t>角色</w:t>
            </w:r>
          </w:p>
        </w:tc>
        <w:tc>
          <w:tcPr>
            <w:tcW w:w="7267" w:type="dxa"/>
            <w:gridSpan w:val="7"/>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709" w:type="dxa"/>
            <w:gridSpan w:val="2"/>
            <w:vAlign w:val="center"/>
          </w:tcPr>
          <w:p>
            <w:pPr>
              <w:jc w:val="center"/>
              <w:rPr>
                <w:b/>
                <w:sz w:val="21"/>
                <w:szCs w:val="21"/>
              </w:rPr>
            </w:pPr>
          </w:p>
        </w:tc>
        <w:tc>
          <w:tcPr>
            <w:tcW w:w="840" w:type="dxa"/>
            <w:vAlign w:val="center"/>
          </w:tcPr>
          <w:p>
            <w:pPr>
              <w:jc w:val="center"/>
              <w:rPr>
                <w:b/>
                <w:sz w:val="21"/>
                <w:szCs w:val="21"/>
              </w:rPr>
            </w:pPr>
          </w:p>
        </w:tc>
        <w:tc>
          <w:tcPr>
            <w:tcW w:w="7267" w:type="dxa"/>
            <w:gridSpan w:val="7"/>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709" w:type="dxa"/>
            <w:gridSpan w:val="2"/>
            <w:vAlign w:val="center"/>
          </w:tcPr>
          <w:p>
            <w:pPr>
              <w:jc w:val="center"/>
              <w:rPr>
                <w:b/>
              </w:rPr>
            </w:pPr>
          </w:p>
        </w:tc>
        <w:tc>
          <w:tcPr>
            <w:tcW w:w="840" w:type="dxa"/>
            <w:vAlign w:val="center"/>
          </w:tcPr>
          <w:p>
            <w:pPr>
              <w:jc w:val="center"/>
              <w:rPr>
                <w:b/>
              </w:rPr>
            </w:pPr>
          </w:p>
        </w:tc>
        <w:tc>
          <w:tcPr>
            <w:tcW w:w="7267" w:type="dxa"/>
            <w:gridSpan w:val="7"/>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709" w:type="dxa"/>
            <w:gridSpan w:val="2"/>
            <w:vAlign w:val="center"/>
          </w:tcPr>
          <w:p>
            <w:pPr>
              <w:jc w:val="center"/>
              <w:rPr>
                <w:b/>
              </w:rPr>
            </w:pPr>
          </w:p>
        </w:tc>
        <w:tc>
          <w:tcPr>
            <w:tcW w:w="840" w:type="dxa"/>
            <w:vAlign w:val="center"/>
          </w:tcPr>
          <w:p>
            <w:pPr>
              <w:jc w:val="center"/>
              <w:rPr>
                <w:b/>
              </w:rPr>
            </w:pPr>
          </w:p>
        </w:tc>
        <w:tc>
          <w:tcPr>
            <w:tcW w:w="7267" w:type="dxa"/>
            <w:gridSpan w:val="7"/>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4" w:name="审核目的"/>
      <w:r>
        <w:rPr>
          <w:rFonts w:hint="eastAsia"/>
          <w:b/>
          <w:sz w:val="21"/>
          <w:szCs w:val="21"/>
        </w:rPr>
        <w:t>□认证注册：__________</w:t>
      </w:r>
    </w:p>
    <w:p>
      <w:pPr>
        <w:tabs>
          <w:tab w:val="left" w:pos="645"/>
        </w:tabs>
        <w:rPr>
          <w:rFonts w:hint="eastAsia" w:ascii="宋体" w:hAnsi="宋体"/>
          <w:b/>
          <w:bCs/>
          <w:sz w:val="20"/>
          <w:u w:val="single"/>
        </w:rPr>
      </w:pPr>
      <w:r>
        <w:rPr>
          <w:rFonts w:hint="eastAsia" w:ascii="宋体" w:hAnsi="宋体" w:eastAsia="宋体" w:cs="宋体"/>
          <w:b/>
          <w:sz w:val="21"/>
          <w:szCs w:val="21"/>
        </w:rPr>
        <w:t>■</w:t>
      </w:r>
      <w:r>
        <w:rPr>
          <w:rFonts w:hint="eastAsia"/>
          <w:b/>
          <w:sz w:val="21"/>
          <w:szCs w:val="21"/>
        </w:rPr>
        <w:t>保持认证注册资格：_</w:t>
      </w:r>
      <w:bookmarkStart w:id="5" w:name="审核类型"/>
      <w:r>
        <w:rPr>
          <w:rFonts w:hint="eastAsia" w:ascii="宋体" w:hAnsi="宋体"/>
          <w:b/>
          <w:bCs/>
          <w:sz w:val="20"/>
          <w:u w:val="single"/>
        </w:rPr>
        <w:t>Q:监查1,O:监查1,E:监查1</w:t>
      </w:r>
      <w:bookmarkEnd w:id="5"/>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4"/>
    </w:p>
    <w:p>
      <w:pPr>
        <w:tabs>
          <w:tab w:val="left" w:pos="645"/>
        </w:tabs>
        <w:rPr>
          <w:b/>
          <w:sz w:val="16"/>
          <w:szCs w:val="16"/>
        </w:rPr>
      </w:pPr>
      <w:r>
        <w:rPr>
          <w:rFonts w:hint="eastAsia"/>
          <w:b/>
          <w:sz w:val="26"/>
          <w:szCs w:val="26"/>
        </w:rPr>
        <w:t>三、审核准则</w:t>
      </w:r>
    </w:p>
    <w:p>
      <w:pPr>
        <w:tabs>
          <w:tab w:val="left" w:pos="645"/>
        </w:tabs>
        <w:rPr>
          <w:b/>
          <w:sz w:val="21"/>
          <w:szCs w:val="21"/>
        </w:rPr>
      </w:pPr>
      <w:bookmarkStart w:id="6" w:name="Q勾选15Add"/>
      <w:r>
        <w:rPr>
          <w:rFonts w:hint="eastAsia"/>
          <w:b/>
          <w:sz w:val="21"/>
          <w:szCs w:val="21"/>
        </w:rPr>
        <w:t>■</w:t>
      </w:r>
      <w:bookmarkEnd w:id="6"/>
      <w:r>
        <w:rPr>
          <w:rFonts w:hint="eastAsia"/>
          <w:b/>
          <w:sz w:val="21"/>
          <w:szCs w:val="21"/>
        </w:rPr>
        <w:t xml:space="preserve"> GB/T 19001:2016 idt ISO 9001:2015标准不适用条款: </w:t>
      </w:r>
    </w:p>
    <w:p>
      <w:pPr>
        <w:tabs>
          <w:tab w:val="left" w:pos="645"/>
        </w:tabs>
        <w:rPr>
          <w:b/>
          <w:sz w:val="21"/>
          <w:szCs w:val="21"/>
        </w:rPr>
      </w:pPr>
      <w:bookmarkStart w:id="7" w:name="QJ勾选Add"/>
      <w:r>
        <w:rPr>
          <w:rFonts w:hint="eastAsia"/>
          <w:b/>
          <w:sz w:val="21"/>
          <w:szCs w:val="21"/>
        </w:rPr>
        <w:t>□</w:t>
      </w:r>
      <w:bookmarkEnd w:id="7"/>
      <w:r>
        <w:rPr>
          <w:rFonts w:hint="eastAsia"/>
          <w:b/>
          <w:sz w:val="21"/>
          <w:szCs w:val="21"/>
        </w:rPr>
        <w:t xml:space="preserve"> GB/T 50430-2017标准不适用条款: </w:t>
      </w:r>
    </w:p>
    <w:p>
      <w:pPr>
        <w:tabs>
          <w:tab w:val="left" w:pos="645"/>
        </w:tabs>
        <w:rPr>
          <w:b/>
          <w:sz w:val="21"/>
          <w:szCs w:val="21"/>
        </w:rPr>
      </w:pPr>
      <w:bookmarkStart w:id="8" w:name="E勾选Add"/>
      <w:r>
        <w:rPr>
          <w:rFonts w:hint="eastAsia"/>
          <w:b/>
          <w:sz w:val="21"/>
          <w:szCs w:val="21"/>
        </w:rPr>
        <w:t>■</w:t>
      </w:r>
      <w:bookmarkEnd w:id="8"/>
      <w:r>
        <w:rPr>
          <w:rFonts w:hint="eastAsia"/>
          <w:b/>
          <w:sz w:val="21"/>
          <w:szCs w:val="21"/>
        </w:rPr>
        <w:t xml:space="preserve"> GB/T 24001-2016 idt ISO 14001:2015标准</w:t>
      </w:r>
    </w:p>
    <w:p>
      <w:pPr>
        <w:tabs>
          <w:tab w:val="left" w:pos="645"/>
        </w:tabs>
        <w:rPr>
          <w:b/>
          <w:sz w:val="21"/>
          <w:szCs w:val="21"/>
        </w:rPr>
      </w:pPr>
      <w:r>
        <w:rPr>
          <w:rFonts w:hint="eastAsia"/>
          <w:b/>
          <w:sz w:val="21"/>
          <w:szCs w:val="21"/>
        </w:rPr>
        <w:t>□ GB/T 28001-2011 idt OHSMS 18001:2007标准</w:t>
      </w:r>
    </w:p>
    <w:p>
      <w:pPr>
        <w:tabs>
          <w:tab w:val="left" w:pos="645"/>
        </w:tabs>
        <w:rPr>
          <w:b/>
          <w:sz w:val="21"/>
          <w:szCs w:val="21"/>
        </w:rPr>
      </w:pPr>
      <w:bookmarkStart w:id="9" w:name="S勾选Add1"/>
      <w:r>
        <w:rPr>
          <w:rFonts w:hint="eastAsia"/>
          <w:b/>
          <w:sz w:val="21"/>
          <w:szCs w:val="21"/>
        </w:rPr>
        <w:t>■</w:t>
      </w:r>
      <w:bookmarkEnd w:id="9"/>
      <w:r>
        <w:rPr>
          <w:rFonts w:hint="eastAsia"/>
          <w:b/>
          <w:sz w:val="21"/>
          <w:szCs w:val="21"/>
        </w:rPr>
        <w:t xml:space="preserve"> ISO45001：2018标准</w:t>
      </w:r>
    </w:p>
    <w:p>
      <w:pPr>
        <w:tabs>
          <w:tab w:val="left" w:pos="645"/>
        </w:tabs>
        <w:rPr>
          <w:b/>
          <w:sz w:val="21"/>
          <w:szCs w:val="21"/>
        </w:rPr>
      </w:pPr>
      <w:r>
        <w:rPr>
          <w:rFonts w:hint="eastAsia"/>
          <w:b/>
          <w:sz w:val="21"/>
          <w:szCs w:val="21"/>
          <w:lang w:eastAsia="zh-CN"/>
        </w:rPr>
        <w:t>■</w:t>
      </w:r>
      <w:r>
        <w:rPr>
          <w:rFonts w:hint="eastAsia"/>
          <w:b/>
          <w:sz w:val="21"/>
          <w:szCs w:val="21"/>
        </w:rPr>
        <w:t>受审核方管理体系文件</w:t>
      </w:r>
      <w:r>
        <w:rPr>
          <w:rFonts w:hint="eastAsia"/>
          <w:b/>
          <w:sz w:val="21"/>
          <w:szCs w:val="21"/>
          <w:lang w:eastAsia="zh-CN"/>
        </w:rPr>
        <w:t>■</w:t>
      </w:r>
      <w:r>
        <w:rPr>
          <w:rFonts w:hint="eastAsia"/>
          <w:b/>
          <w:sz w:val="21"/>
          <w:szCs w:val="21"/>
        </w:rPr>
        <w:t>适用的法律法规</w:t>
      </w:r>
      <w:r>
        <w:rPr>
          <w:rFonts w:hint="eastAsia"/>
          <w:b/>
          <w:sz w:val="21"/>
          <w:szCs w:val="21"/>
          <w:lang w:eastAsia="zh-CN"/>
        </w:rPr>
        <w:t>■</w:t>
      </w:r>
      <w:r>
        <w:rPr>
          <w:rFonts w:hint="eastAsia"/>
          <w:b/>
          <w:sz w:val="21"/>
          <w:szCs w:val="21"/>
        </w:rPr>
        <w:t>认证合同</w:t>
      </w:r>
    </w:p>
    <w:p>
      <w:pPr>
        <w:tabs>
          <w:tab w:val="left" w:pos="645"/>
        </w:tabs>
        <w:rPr>
          <w:b/>
          <w:sz w:val="16"/>
          <w:szCs w:val="16"/>
        </w:rPr>
      </w:pPr>
      <w:r>
        <w:rPr>
          <w:rFonts w:hint="eastAsia"/>
          <w:b/>
          <w:sz w:val="26"/>
          <w:szCs w:val="26"/>
        </w:rPr>
        <w:t>四、受审核方基本信息</w:t>
      </w:r>
    </w:p>
    <w:tbl>
      <w:tblPr>
        <w:tblStyle w:val="6"/>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814"/>
        <w:gridCol w:w="2052"/>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1855" w:type="dxa"/>
            <w:gridSpan w:val="2"/>
            <w:vAlign w:val="center"/>
          </w:tcPr>
          <w:p>
            <w:pPr>
              <w:spacing w:line="260" w:lineRule="exact"/>
              <w:jc w:val="center"/>
              <w:rPr>
                <w:rFonts w:ascii="宋体"/>
                <w:b/>
                <w:color w:val="000000" w:themeColor="text1"/>
                <w:sz w:val="16"/>
                <w:szCs w:val="16"/>
              </w:rPr>
            </w:pPr>
            <w:r>
              <w:rPr>
                <w:rFonts w:hint="eastAsia" w:ascii="宋体" w:hAnsi="宋体"/>
                <w:b/>
                <w:color w:val="000000" w:themeColor="text1"/>
                <w:sz w:val="21"/>
              </w:rPr>
              <w:t>受审核方名称</w:t>
            </w:r>
          </w:p>
        </w:tc>
        <w:tc>
          <w:tcPr>
            <w:tcW w:w="4779" w:type="dxa"/>
            <w:gridSpan w:val="4"/>
          </w:tcPr>
          <w:p>
            <w:pPr>
              <w:spacing w:line="260" w:lineRule="exact"/>
              <w:rPr>
                <w:rFonts w:ascii="宋体"/>
                <w:b/>
                <w:color w:val="000000" w:themeColor="text1"/>
                <w:sz w:val="21"/>
              </w:rPr>
            </w:pPr>
            <w:bookmarkStart w:id="10" w:name="组织名称Add"/>
            <w:r>
              <w:rPr>
                <w:rFonts w:ascii="宋体"/>
                <w:b/>
                <w:color w:val="000000" w:themeColor="text1"/>
                <w:sz w:val="21"/>
              </w:rPr>
              <w:t>重庆市重点产业人力资源服务有限公司</w:t>
            </w:r>
            <w:bookmarkEnd w:id="10"/>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rPr>
                <w:rFonts w:hint="default" w:ascii="宋体" w:eastAsia="宋体"/>
                <w:b/>
                <w:sz w:val="21"/>
                <w:lang w:val="en-US" w:eastAsia="zh-CN"/>
              </w:rPr>
            </w:pPr>
            <w:r>
              <w:rPr>
                <w:rFonts w:hint="eastAsia" w:ascii="宋体"/>
                <w:b/>
                <w:color w:val="000000" w:themeColor="text1"/>
                <w:sz w:val="21"/>
                <w:lang w:val="en-US" w:eastAsia="zh-CN"/>
                <w14:textFill>
                  <w14:solidFill>
                    <w14:schemeClr w14:val="tx1"/>
                  </w14:solidFill>
                </w14:textFill>
              </w:rPr>
              <w:t>269人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855" w:type="dxa"/>
            <w:gridSpan w:val="2"/>
            <w:vAlign w:val="center"/>
          </w:tcPr>
          <w:p>
            <w:pPr>
              <w:jc w:val="center"/>
              <w:rPr>
                <w:b/>
                <w:sz w:val="16"/>
                <w:szCs w:val="16"/>
              </w:rPr>
            </w:pPr>
            <w:r>
              <w:rPr>
                <w:rFonts w:hint="eastAsia" w:ascii="宋体" w:hAnsi="宋体"/>
                <w:b/>
                <w:sz w:val="21"/>
                <w:szCs w:val="21"/>
              </w:rPr>
              <w:t>注册地址</w:t>
            </w:r>
          </w:p>
        </w:tc>
        <w:tc>
          <w:tcPr>
            <w:tcW w:w="4779" w:type="dxa"/>
            <w:gridSpan w:val="4"/>
          </w:tcPr>
          <w:p>
            <w:pPr>
              <w:rPr>
                <w:rFonts w:ascii="宋体"/>
                <w:b/>
                <w:sz w:val="21"/>
              </w:rPr>
            </w:pPr>
            <w:bookmarkStart w:id="11" w:name="注册地址"/>
            <w:r>
              <w:rPr>
                <w:rFonts w:ascii="宋体"/>
                <w:b/>
                <w:sz w:val="21"/>
              </w:rPr>
              <w:t>重庆市渝北区春华大道99号北区7幢3层310号</w:t>
            </w:r>
            <w:bookmarkEnd w:id="11"/>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12" w:name="注册邮编"/>
            <w:r>
              <w:rPr>
                <w:rFonts w:ascii="宋体"/>
                <w:b/>
                <w:sz w:val="21"/>
              </w:rPr>
              <w:t>400000</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855" w:type="dxa"/>
            <w:gridSpan w:val="2"/>
            <w:vAlign w:val="center"/>
          </w:tcPr>
          <w:p>
            <w:pPr>
              <w:jc w:val="center"/>
              <w:rPr>
                <w:rFonts w:ascii="宋体"/>
                <w:b/>
                <w:sz w:val="21"/>
                <w:szCs w:val="21"/>
              </w:rPr>
            </w:pPr>
            <w:r>
              <w:rPr>
                <w:rFonts w:hint="eastAsia" w:ascii="宋体" w:hAnsi="宋体"/>
                <w:b/>
                <w:sz w:val="21"/>
                <w:szCs w:val="21"/>
              </w:rPr>
              <w:t>经营地址</w:t>
            </w:r>
          </w:p>
        </w:tc>
        <w:tc>
          <w:tcPr>
            <w:tcW w:w="4779" w:type="dxa"/>
            <w:gridSpan w:val="4"/>
          </w:tcPr>
          <w:p>
            <w:pPr>
              <w:rPr>
                <w:rFonts w:ascii="宋体"/>
                <w:b/>
                <w:sz w:val="21"/>
              </w:rPr>
            </w:pPr>
            <w:bookmarkStart w:id="13" w:name="办公地址"/>
            <w:r>
              <w:rPr>
                <w:rFonts w:ascii="宋体"/>
                <w:b/>
                <w:sz w:val="21"/>
              </w:rPr>
              <w:t>重庆市渝北区春华大道99号北区6号楼306</w:t>
            </w:r>
            <w:bookmarkEnd w:id="13"/>
          </w:p>
        </w:tc>
        <w:tc>
          <w:tcPr>
            <w:tcW w:w="1672" w:type="dxa"/>
            <w:vMerge w:val="continue"/>
            <w:vAlign w:val="center"/>
          </w:tcPr>
          <w:p>
            <w:pPr>
              <w:jc w:val="center"/>
              <w:rPr>
                <w:rFonts w:ascii="宋体"/>
                <w:b/>
                <w:sz w:val="21"/>
              </w:rPr>
            </w:pPr>
          </w:p>
        </w:tc>
        <w:tc>
          <w:tcPr>
            <w:tcW w:w="1500" w:type="dxa"/>
          </w:tcPr>
          <w:p>
            <w:pPr>
              <w:rPr>
                <w:rFonts w:ascii="宋体"/>
                <w:b/>
                <w:sz w:val="21"/>
              </w:rPr>
            </w:pPr>
            <w:bookmarkStart w:id="14" w:name="办公邮编"/>
            <w:r>
              <w:rPr>
                <w:rFonts w:ascii="宋体"/>
                <w:b/>
                <w:sz w:val="21"/>
              </w:rPr>
              <w:t>400000</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855"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779" w:type="dxa"/>
            <w:gridSpan w:val="4"/>
          </w:tcPr>
          <w:p>
            <w:pPr>
              <w:rPr>
                <w:rFonts w:ascii="宋体"/>
                <w:b/>
                <w:sz w:val="21"/>
              </w:rPr>
            </w:pPr>
            <w:bookmarkStart w:id="15" w:name="生产地址Add"/>
            <w:r>
              <w:rPr>
                <w:rFonts w:ascii="宋体"/>
                <w:b/>
                <w:sz w:val="21"/>
              </w:rPr>
              <w:t>重庆市渝北区春华大道99号北区6号楼306、705、706</w:t>
            </w:r>
            <w:bookmarkEnd w:id="15"/>
          </w:p>
        </w:tc>
        <w:tc>
          <w:tcPr>
            <w:tcW w:w="1672" w:type="dxa"/>
            <w:vMerge w:val="continue"/>
            <w:vAlign w:val="center"/>
          </w:tcPr>
          <w:p>
            <w:pPr>
              <w:jc w:val="center"/>
              <w:rPr>
                <w:rFonts w:ascii="宋体"/>
                <w:b/>
                <w:sz w:val="21"/>
              </w:rPr>
            </w:pPr>
          </w:p>
        </w:tc>
        <w:tc>
          <w:tcPr>
            <w:tcW w:w="1500" w:type="dxa"/>
          </w:tcPr>
          <w:p>
            <w:pPr>
              <w:rPr>
                <w:rFonts w:ascii="宋体"/>
                <w:b/>
                <w:sz w:val="21"/>
              </w:rPr>
            </w:pPr>
            <w:bookmarkStart w:id="16" w:name="生产邮编"/>
            <w:r>
              <w:rPr>
                <w:rFonts w:ascii="宋体"/>
                <w:b/>
                <w:sz w:val="21"/>
              </w:rPr>
              <w:t>400000</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1855" w:type="dxa"/>
            <w:gridSpan w:val="2"/>
            <w:vAlign w:val="center"/>
          </w:tcPr>
          <w:p>
            <w:pPr>
              <w:jc w:val="center"/>
              <w:rPr>
                <w:rFonts w:ascii="宋体"/>
                <w:b/>
                <w:sz w:val="21"/>
              </w:rPr>
            </w:pPr>
            <w:r>
              <w:rPr>
                <w:rFonts w:hint="eastAsia" w:ascii="宋体" w:hAnsi="宋体"/>
                <w:b/>
                <w:sz w:val="21"/>
              </w:rPr>
              <w:t>联系人</w:t>
            </w:r>
          </w:p>
        </w:tc>
        <w:tc>
          <w:tcPr>
            <w:tcW w:w="2052" w:type="dxa"/>
          </w:tcPr>
          <w:p>
            <w:pPr>
              <w:rPr>
                <w:rFonts w:ascii="宋体"/>
                <w:b/>
                <w:sz w:val="21"/>
              </w:rPr>
            </w:pPr>
            <w:bookmarkStart w:id="17" w:name="联系人"/>
            <w:r>
              <w:rPr>
                <w:rFonts w:ascii="宋体"/>
                <w:b/>
                <w:sz w:val="21"/>
              </w:rPr>
              <w:t>文婷</w:t>
            </w:r>
            <w:bookmarkEnd w:id="17"/>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18" w:name="联系人电话Add"/>
            <w:r>
              <w:rPr>
                <w:rFonts w:ascii="宋体"/>
                <w:b/>
                <w:sz w:val="21"/>
              </w:rPr>
              <w:t>17353104498</w:t>
            </w:r>
            <w:bookmarkEnd w:id="18"/>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19" w:name="联系人传真"/>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855"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2052" w:type="dxa"/>
          </w:tcPr>
          <w:p>
            <w:pPr>
              <w:rPr>
                <w:rFonts w:ascii="宋体" w:hAnsi="宋体"/>
                <w:b/>
                <w:sz w:val="21"/>
                <w:szCs w:val="21"/>
              </w:rPr>
            </w:pPr>
            <w:bookmarkStart w:id="20" w:name="法人"/>
            <w:r>
              <w:rPr>
                <w:rFonts w:ascii="宋体" w:hAnsi="宋体"/>
                <w:b/>
                <w:sz w:val="21"/>
                <w:szCs w:val="21"/>
              </w:rPr>
              <w:t>唐继邦</w:t>
            </w:r>
            <w:bookmarkEnd w:id="20"/>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tcPr>
          <w:p>
            <w:pPr>
              <w:rPr>
                <w:rFonts w:ascii="宋体" w:hAnsi="宋体"/>
                <w:b/>
                <w:sz w:val="21"/>
                <w:szCs w:val="21"/>
              </w:rPr>
            </w:pP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ascii="宋体"/>
                <w:b/>
                <w:sz w:val="21"/>
              </w:rPr>
            </w:pPr>
            <w:bookmarkStart w:id="21" w:name="管理者代表"/>
            <w:r>
              <w:rPr>
                <w:rFonts w:ascii="宋体"/>
                <w:b/>
                <w:sz w:val="21"/>
              </w:rPr>
              <w:t>文婷</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855"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3161" w:type="dxa"/>
            <w:gridSpan w:val="2"/>
            <w:vAlign w:val="center"/>
          </w:tcPr>
          <w:p>
            <w:pPr>
              <w:rPr>
                <w:rFonts w:ascii="宋体" w:hAnsi="宋体"/>
                <w:b/>
                <w:sz w:val="21"/>
                <w:szCs w:val="21"/>
              </w:rPr>
            </w:pPr>
            <w:bookmarkStart w:id="22" w:name="审核日期"/>
            <w:r>
              <w:rPr>
                <w:rFonts w:ascii="宋体" w:hAnsi="宋体"/>
                <w:b/>
                <w:sz w:val="21"/>
                <w:szCs w:val="21"/>
              </w:rPr>
              <w:t>2020年12月25日 上午至2020年12月27日 上午</w:t>
            </w:r>
            <w:bookmarkEnd w:id="22"/>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1855"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951" w:type="dxa"/>
            <w:gridSpan w:val="6"/>
          </w:tcPr>
          <w:p>
            <w:pPr>
              <w:spacing w:line="360" w:lineRule="exact"/>
              <w:rPr>
                <w:rFonts w:hint="eastAsia" w:ascii="宋体" w:hAnsi="宋体"/>
                <w:b/>
                <w:sz w:val="21"/>
                <w:szCs w:val="21"/>
              </w:rPr>
            </w:pPr>
            <w:bookmarkStart w:id="23" w:name="Q勾选15Add1"/>
            <w:r>
              <w:rPr>
                <w:rFonts w:hint="eastAsia" w:ascii="宋体" w:hAnsi="宋体"/>
                <w:b/>
                <w:sz w:val="21"/>
                <w:szCs w:val="21"/>
              </w:rPr>
              <w:t>■</w:t>
            </w:r>
            <w:bookmarkEnd w:id="23"/>
            <w:r>
              <w:rPr>
                <w:rFonts w:ascii="宋体" w:hAnsi="宋体"/>
                <w:b/>
                <w:sz w:val="21"/>
                <w:szCs w:val="21"/>
              </w:rPr>
              <w:t>QMS</w:t>
            </w:r>
            <w:r>
              <w:rPr>
                <w:rFonts w:hint="eastAsia" w:ascii="宋体" w:hAnsi="宋体"/>
                <w:b/>
                <w:sz w:val="21"/>
                <w:szCs w:val="21"/>
              </w:rPr>
              <w:t>：</w:t>
            </w:r>
            <w:bookmarkStart w:id="24" w:name="E勾选Add1"/>
            <w:r>
              <w:rPr>
                <w:sz w:val="20"/>
              </w:rPr>
              <w:t>计算机网络科技领域内的技术开发，会议及展览服务，劳务派遣</w:t>
            </w:r>
          </w:p>
          <w:p>
            <w:pPr>
              <w:spacing w:line="360" w:lineRule="exact"/>
              <w:rPr>
                <w:rFonts w:ascii="宋体" w:hAnsi="宋体"/>
                <w:b/>
                <w:sz w:val="21"/>
                <w:szCs w:val="21"/>
              </w:rPr>
            </w:pPr>
            <w:r>
              <w:rPr>
                <w:rFonts w:hint="eastAsia" w:ascii="宋体" w:hAnsi="宋体"/>
                <w:b/>
                <w:sz w:val="21"/>
                <w:szCs w:val="21"/>
              </w:rPr>
              <w:t>■</w:t>
            </w:r>
            <w:bookmarkEnd w:id="24"/>
            <w:r>
              <w:rPr>
                <w:rFonts w:ascii="宋体" w:hAnsi="宋体"/>
                <w:b/>
                <w:sz w:val="21"/>
                <w:szCs w:val="21"/>
              </w:rPr>
              <w:t>EMS</w:t>
            </w:r>
            <w:r>
              <w:rPr>
                <w:rFonts w:hint="eastAsia" w:ascii="宋体" w:hAnsi="宋体"/>
                <w:b/>
                <w:sz w:val="21"/>
                <w:szCs w:val="21"/>
              </w:rPr>
              <w:t>：</w:t>
            </w:r>
            <w:r>
              <w:rPr>
                <w:sz w:val="20"/>
              </w:rPr>
              <w:t>计算机网络科技领域内的技术开发，会议及展览服务，劳务派遣所涉及场所相关的职业健康安全管理活动</w:t>
            </w:r>
          </w:p>
          <w:p>
            <w:pPr>
              <w:spacing w:line="360" w:lineRule="exact"/>
              <w:rPr>
                <w:rFonts w:ascii="宋体" w:hAnsi="宋体"/>
                <w:b/>
                <w:sz w:val="21"/>
                <w:szCs w:val="21"/>
              </w:rPr>
            </w:pPr>
            <w:bookmarkStart w:id="25" w:name="S勾选Add2"/>
            <w:r>
              <w:rPr>
                <w:rFonts w:hint="eastAsia" w:ascii="宋体" w:hAnsi="宋体"/>
                <w:b/>
                <w:sz w:val="21"/>
                <w:szCs w:val="21"/>
              </w:rPr>
              <w:t>■</w:t>
            </w:r>
            <w:bookmarkEnd w:id="25"/>
            <w:r>
              <w:rPr>
                <w:rFonts w:ascii="宋体" w:hAnsi="宋体"/>
                <w:b/>
                <w:sz w:val="21"/>
                <w:szCs w:val="21"/>
              </w:rPr>
              <w:t>OHSMS</w:t>
            </w:r>
            <w:r>
              <w:rPr>
                <w:rFonts w:hint="eastAsia" w:ascii="宋体" w:hAnsi="宋体"/>
                <w:b/>
                <w:sz w:val="21"/>
                <w:szCs w:val="21"/>
              </w:rPr>
              <w:t>：</w:t>
            </w:r>
            <w:r>
              <w:rPr>
                <w:sz w:val="20"/>
              </w:rPr>
              <w:t>计算机网络科技领域内的技术开发，会议及展览服务，劳务派遣所涉及场所相关的环境管理活动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814" w:type="dxa"/>
            <w:vAlign w:val="center"/>
          </w:tcPr>
          <w:p>
            <w:pPr>
              <w:spacing w:line="260" w:lineRule="exact"/>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rPr>
              <w:t>□否</w:t>
            </w:r>
          </w:p>
        </w:tc>
        <w:tc>
          <w:tcPr>
            <w:tcW w:w="7951" w:type="dxa"/>
            <w:gridSpan w:val="6"/>
          </w:tcPr>
          <w:p>
            <w:pPr>
              <w:spacing w:beforeLines="20"/>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p>
            <w:pPr>
              <w:spacing w:beforeLines="20"/>
              <w:rPr>
                <w:rFonts w:hint="eastAsia"/>
                <w:sz w:val="21"/>
                <w:szCs w:val="21"/>
              </w:rPr>
            </w:pPr>
            <w:r>
              <w:rPr>
                <w:rFonts w:hint="eastAsia"/>
                <w:b/>
                <w:sz w:val="21"/>
                <w:szCs w:val="21"/>
              </w:rPr>
              <w:t>认证标准变更</w:t>
            </w:r>
            <w:r>
              <w:rPr>
                <w:rFonts w:hint="eastAsia"/>
                <w:sz w:val="21"/>
                <w:szCs w:val="21"/>
              </w:rPr>
              <w:t>：</w:t>
            </w:r>
          </w:p>
          <w:p>
            <w:pPr>
              <w:spacing w:beforeLines="20"/>
              <w:rPr>
                <w:sz w:val="21"/>
                <w:szCs w:val="21"/>
                <w:u w:val="single"/>
              </w:rPr>
            </w:pPr>
            <w:r>
              <w:rPr>
                <w:rFonts w:hint="eastAsia"/>
                <w:sz w:val="21"/>
                <w:szCs w:val="21"/>
              </w:rPr>
              <w:t>原依据标准：</w:t>
            </w:r>
            <w:r>
              <w:rPr>
                <w:sz w:val="21"/>
                <w:szCs w:val="21"/>
              </w:rPr>
              <w:t xml:space="preserve"> GB/T 28001-2011/OHSAS18001:2007</w:t>
            </w:r>
          </w:p>
          <w:p>
            <w:pPr>
              <w:rPr>
                <w:sz w:val="21"/>
                <w:szCs w:val="21"/>
                <w:u w:val="single"/>
              </w:rPr>
            </w:pPr>
            <w:r>
              <w:rPr>
                <w:rFonts w:hint="eastAsia"/>
                <w:sz w:val="21"/>
                <w:szCs w:val="21"/>
              </w:rPr>
              <w:t>现依据标准为： GB/T45001-2020 / ISO45001：2018</w:t>
            </w:r>
          </w:p>
          <w:p>
            <w:pPr>
              <w:rPr>
                <w:sz w:val="21"/>
                <w:szCs w:val="21"/>
              </w:rPr>
            </w:pPr>
            <w:r>
              <w:rPr>
                <w:rFonts w:hint="eastAsia"/>
                <w:b/>
                <w:sz w:val="21"/>
                <w:szCs w:val="21"/>
              </w:rPr>
              <w:t>认证范围变更</w:t>
            </w:r>
            <w:r>
              <w:rPr>
                <w:rFonts w:hint="eastAsia"/>
                <w:sz w:val="21"/>
                <w:szCs w:val="21"/>
              </w:rPr>
              <w:t>：</w:t>
            </w:r>
          </w:p>
          <w:p>
            <w:pPr>
              <w:spacing w:beforeLines="20"/>
              <w:rPr>
                <w:rFonts w:hint="eastAsia"/>
                <w:sz w:val="21"/>
                <w:szCs w:val="21"/>
              </w:rPr>
            </w:pPr>
            <w:r>
              <w:rPr>
                <w:rFonts w:hint="eastAsia"/>
                <w:sz w:val="21"/>
                <w:szCs w:val="21"/>
              </w:rPr>
              <w:t>原范围：</w:t>
            </w:r>
          </w:p>
          <w:p>
            <w:pPr>
              <w:spacing w:beforeLines="20"/>
              <w:rPr>
                <w:rFonts w:hint="eastAsia"/>
                <w:sz w:val="21"/>
                <w:szCs w:val="21"/>
              </w:rPr>
            </w:pPr>
            <w:r>
              <w:rPr>
                <w:rFonts w:hint="eastAsia"/>
                <w:sz w:val="21"/>
                <w:szCs w:val="21"/>
              </w:rPr>
              <w:t>Q:计算机网络科技领域内的技术开发，会议展览服务</w:t>
            </w:r>
          </w:p>
          <w:p>
            <w:pPr>
              <w:spacing w:beforeLines="20"/>
              <w:rPr>
                <w:rFonts w:hint="eastAsia"/>
                <w:sz w:val="21"/>
                <w:szCs w:val="21"/>
              </w:rPr>
            </w:pPr>
            <w:r>
              <w:rPr>
                <w:rFonts w:hint="eastAsia"/>
                <w:sz w:val="21"/>
                <w:szCs w:val="21"/>
              </w:rPr>
              <w:t>E:计算机网络科技领域内的技术开发，会议展览服务及相关环境管理活动</w:t>
            </w:r>
          </w:p>
          <w:p>
            <w:pPr>
              <w:spacing w:beforeLines="20"/>
              <w:rPr>
                <w:rFonts w:hint="eastAsia"/>
                <w:sz w:val="21"/>
                <w:szCs w:val="21"/>
              </w:rPr>
            </w:pPr>
            <w:r>
              <w:rPr>
                <w:rFonts w:hint="eastAsia"/>
                <w:sz w:val="21"/>
                <w:szCs w:val="21"/>
              </w:rPr>
              <w:t xml:space="preserve">O:计算机网络科技领域内的技术开发，会议展览服务及相关职业健康安全管理活动 </w:t>
            </w:r>
          </w:p>
          <w:p>
            <w:pPr>
              <w:spacing w:beforeLines="20"/>
              <w:rPr>
                <w:rFonts w:hint="eastAsia"/>
                <w:sz w:val="21"/>
                <w:szCs w:val="21"/>
              </w:rPr>
            </w:pPr>
            <w:r>
              <w:rPr>
                <w:rFonts w:hint="eastAsia"/>
                <w:sz w:val="21"/>
                <w:szCs w:val="21"/>
              </w:rPr>
              <w:t>现范围：</w:t>
            </w:r>
          </w:p>
          <w:p>
            <w:pPr>
              <w:spacing w:beforeLines="20"/>
              <w:rPr>
                <w:rFonts w:hint="eastAsia"/>
                <w:sz w:val="21"/>
                <w:szCs w:val="21"/>
              </w:rPr>
            </w:pPr>
            <w:r>
              <w:rPr>
                <w:rFonts w:hint="eastAsia"/>
                <w:sz w:val="21"/>
                <w:szCs w:val="21"/>
              </w:rPr>
              <w:t>Q:计算机网络科技领域内的技术开发，会议及展览服务，劳务派遣</w:t>
            </w:r>
          </w:p>
          <w:p>
            <w:pPr>
              <w:spacing w:beforeLines="20"/>
              <w:rPr>
                <w:rFonts w:hint="eastAsia"/>
                <w:sz w:val="21"/>
                <w:szCs w:val="21"/>
              </w:rPr>
            </w:pPr>
            <w:r>
              <w:rPr>
                <w:rFonts w:hint="eastAsia"/>
                <w:sz w:val="21"/>
                <w:szCs w:val="21"/>
              </w:rPr>
              <w:t>E: 计算机网络科技领域内的技术开发，会议及展览服务，劳务派遣所涉及场所相关的环境管理活动</w:t>
            </w:r>
          </w:p>
          <w:p>
            <w:pPr>
              <w:spacing w:beforeLines="20"/>
              <w:rPr>
                <w:rFonts w:hint="eastAsia"/>
                <w:sz w:val="21"/>
                <w:szCs w:val="21"/>
              </w:rPr>
            </w:pPr>
            <w:r>
              <w:rPr>
                <w:rFonts w:hint="eastAsia"/>
                <w:sz w:val="21"/>
                <w:szCs w:val="21"/>
              </w:rPr>
              <w:t>O:计算机网络科技领域内的技术开发，会议及展览服务，劳务派遣所涉及场所相关的职业健康安全管理活动</w:t>
            </w:r>
          </w:p>
          <w:p>
            <w:pPr>
              <w:rPr>
                <w:color w:val="FF0000"/>
                <w:sz w:val="21"/>
                <w:szCs w:val="21"/>
              </w:rPr>
            </w:pPr>
            <w:r>
              <w:rPr>
                <w:rFonts w:hint="eastAsia"/>
                <w:b/>
                <w:sz w:val="21"/>
                <w:szCs w:val="21"/>
              </w:rPr>
              <w:t>人数变更</w:t>
            </w:r>
            <w:r>
              <w:rPr>
                <w:rFonts w:hint="eastAsia"/>
                <w:sz w:val="21"/>
                <w:szCs w:val="21"/>
              </w:rPr>
              <w:t>：</w:t>
            </w:r>
            <w:r>
              <w:rPr>
                <w:rFonts w:hint="eastAsia"/>
                <w:sz w:val="21"/>
                <w:szCs w:val="21"/>
                <w:lang w:val="en-US" w:eastAsia="zh-CN"/>
              </w:rPr>
              <w:t>原人数</w:t>
            </w:r>
            <w:r>
              <w:rPr>
                <w:rFonts w:hint="eastAsia"/>
                <w:sz w:val="21"/>
                <w:szCs w:val="21"/>
              </w:rPr>
              <w:t>60</w:t>
            </w:r>
            <w:r>
              <w:rPr>
                <w:rFonts w:hint="eastAsia"/>
                <w:sz w:val="21"/>
                <w:szCs w:val="21"/>
                <w:lang w:eastAsia="zh-CN"/>
              </w:rPr>
              <w:t>，</w:t>
            </w:r>
            <w:r>
              <w:rPr>
                <w:rFonts w:hint="eastAsia"/>
                <w:sz w:val="21"/>
                <w:szCs w:val="21"/>
                <w:lang w:val="en-US" w:eastAsia="zh-CN"/>
              </w:rPr>
              <w:t>变更后人数</w:t>
            </w:r>
            <w:r>
              <w:rPr>
                <w:rFonts w:hint="eastAsia"/>
                <w:sz w:val="21"/>
                <w:szCs w:val="21"/>
              </w:rPr>
              <w:t xml:space="preserve"> 269人</w:t>
            </w:r>
          </w:p>
          <w:p>
            <w:pPr>
              <w:rPr>
                <w:sz w:val="21"/>
                <w:szCs w:val="21"/>
              </w:rPr>
            </w:pPr>
            <w:r>
              <w:rPr>
                <w:rFonts w:hint="eastAsia"/>
                <w:b/>
                <w:sz w:val="21"/>
                <w:szCs w:val="21"/>
              </w:rPr>
              <w:t>地址变更</w:t>
            </w:r>
            <w:r>
              <w:rPr>
                <w:rFonts w:hint="eastAsia"/>
                <w:sz w:val="21"/>
                <w:szCs w:val="21"/>
              </w:rPr>
              <w:t>：</w:t>
            </w:r>
          </w:p>
          <w:p>
            <w:pPr>
              <w:rPr>
                <w:sz w:val="21"/>
                <w:szCs w:val="21"/>
              </w:rPr>
            </w:pPr>
            <w:r>
              <w:rPr>
                <w:rFonts w:hint="eastAsia"/>
                <w:sz w:val="21"/>
                <w:szCs w:val="21"/>
              </w:rPr>
              <w:t>原经营地址：重庆市渝北区春华大道99号北区6号楼306</w:t>
            </w:r>
          </w:p>
          <w:p>
            <w:pPr>
              <w:rPr>
                <w:rFonts w:ascii="宋体" w:hAnsi="宋体"/>
                <w:b/>
                <w:sz w:val="21"/>
                <w:szCs w:val="21"/>
              </w:rPr>
            </w:pPr>
            <w:r>
              <w:rPr>
                <w:rFonts w:hint="eastAsia"/>
                <w:sz w:val="21"/>
                <w:szCs w:val="21"/>
              </w:rPr>
              <w:t>现经营地址：重庆市渝北区春华大道99号北区6号楼306、705、706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855"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2052" w:type="dxa"/>
          </w:tcPr>
          <w:p>
            <w:pPr>
              <w:spacing w:line="260" w:lineRule="exact"/>
              <w:rPr>
                <w:rFonts w:ascii="宋体" w:hAnsi="宋体"/>
                <w:b/>
                <w:sz w:val="21"/>
                <w:szCs w:val="21"/>
              </w:rPr>
            </w:pPr>
            <w:bookmarkStart w:id="26" w:name="专业代码"/>
            <w:r>
              <w:rPr>
                <w:rFonts w:ascii="宋体" w:hAnsi="宋体"/>
                <w:b/>
                <w:sz w:val="21"/>
                <w:szCs w:val="21"/>
              </w:rPr>
              <w:t>Q：33.02.01;</w:t>
            </w:r>
          </w:p>
          <w:p>
            <w:pPr>
              <w:spacing w:line="260" w:lineRule="exact"/>
              <w:rPr>
                <w:rFonts w:ascii="宋体" w:hAnsi="宋体"/>
                <w:b/>
                <w:sz w:val="21"/>
                <w:szCs w:val="21"/>
              </w:rPr>
            </w:pPr>
            <w:r>
              <w:rPr>
                <w:rFonts w:ascii="宋体" w:hAnsi="宋体"/>
                <w:b/>
                <w:sz w:val="21"/>
                <w:szCs w:val="21"/>
              </w:rPr>
              <w:t>35.10.00;35.20.00</w:t>
            </w:r>
          </w:p>
          <w:p>
            <w:pPr>
              <w:spacing w:line="260" w:lineRule="exact"/>
              <w:rPr>
                <w:rFonts w:ascii="宋体" w:hAnsi="宋体"/>
                <w:b/>
                <w:sz w:val="21"/>
                <w:szCs w:val="21"/>
              </w:rPr>
            </w:pPr>
            <w:r>
              <w:rPr>
                <w:rFonts w:ascii="宋体" w:hAnsi="宋体"/>
                <w:b/>
                <w:sz w:val="21"/>
                <w:szCs w:val="21"/>
              </w:rPr>
              <w:t>O：33.02.01;</w:t>
            </w:r>
          </w:p>
          <w:p>
            <w:pPr>
              <w:spacing w:line="260" w:lineRule="exact"/>
              <w:rPr>
                <w:rFonts w:ascii="宋体" w:hAnsi="宋体"/>
                <w:b/>
                <w:sz w:val="21"/>
                <w:szCs w:val="21"/>
              </w:rPr>
            </w:pPr>
            <w:r>
              <w:rPr>
                <w:rFonts w:ascii="宋体" w:hAnsi="宋体"/>
                <w:b/>
                <w:sz w:val="21"/>
                <w:szCs w:val="21"/>
              </w:rPr>
              <w:t>35.10.00;35.20.00</w:t>
            </w:r>
          </w:p>
          <w:p>
            <w:pPr>
              <w:spacing w:line="260" w:lineRule="exact"/>
              <w:rPr>
                <w:rFonts w:ascii="宋体" w:hAnsi="宋体"/>
                <w:b/>
                <w:sz w:val="21"/>
                <w:szCs w:val="21"/>
              </w:rPr>
            </w:pPr>
            <w:r>
              <w:rPr>
                <w:rFonts w:ascii="宋体" w:hAnsi="宋体"/>
                <w:b/>
                <w:sz w:val="21"/>
                <w:szCs w:val="21"/>
              </w:rPr>
              <w:t>E：33.02.01;</w:t>
            </w:r>
          </w:p>
          <w:p>
            <w:pPr>
              <w:spacing w:line="260" w:lineRule="exact"/>
              <w:rPr>
                <w:rFonts w:ascii="宋体" w:hAnsi="宋体"/>
                <w:b/>
                <w:sz w:val="21"/>
                <w:szCs w:val="21"/>
              </w:rPr>
            </w:pPr>
            <w:r>
              <w:rPr>
                <w:rFonts w:ascii="宋体" w:hAnsi="宋体"/>
                <w:b/>
                <w:sz w:val="21"/>
                <w:szCs w:val="21"/>
              </w:rPr>
              <w:t>35.10.00;35.20.00</w:t>
            </w:r>
            <w:bookmarkEnd w:id="26"/>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tcPr>
          <w:p>
            <w:pPr>
              <w:spacing w:line="260" w:lineRule="exact"/>
              <w:rPr>
                <w:rFonts w:hint="eastAsia" w:ascii="宋体" w:hAnsi="宋体"/>
                <w:b/>
                <w:sz w:val="21"/>
                <w:szCs w:val="21"/>
                <w:lang w:val="en-US" w:eastAsia="zh-CN"/>
              </w:rPr>
            </w:pPr>
            <w:r>
              <w:rPr>
                <w:rFonts w:hint="eastAsia" w:ascii="宋体" w:hAnsi="宋体"/>
                <w:b/>
                <w:sz w:val="21"/>
                <w:szCs w:val="21"/>
                <w:lang w:val="en-US" w:eastAsia="zh-CN"/>
              </w:rPr>
              <w:t>Q:2022.09.04</w:t>
            </w:r>
          </w:p>
          <w:p>
            <w:pPr>
              <w:spacing w:line="260" w:lineRule="exact"/>
              <w:rPr>
                <w:rFonts w:hint="eastAsia" w:ascii="宋体" w:hAnsi="宋体"/>
                <w:b/>
                <w:sz w:val="21"/>
                <w:szCs w:val="21"/>
                <w:lang w:val="en-US" w:eastAsia="zh-CN"/>
              </w:rPr>
            </w:pPr>
            <w:r>
              <w:rPr>
                <w:rFonts w:hint="eastAsia" w:ascii="宋体" w:hAnsi="宋体"/>
                <w:b/>
                <w:sz w:val="21"/>
                <w:szCs w:val="21"/>
                <w:lang w:val="en-US" w:eastAsia="zh-CN"/>
              </w:rPr>
              <w:t>E:2022.09.04</w:t>
            </w:r>
          </w:p>
          <w:p>
            <w:pPr>
              <w:spacing w:line="260" w:lineRule="exact"/>
              <w:rPr>
                <w:rFonts w:hint="default" w:ascii="宋体" w:hAnsi="宋体"/>
                <w:b/>
                <w:sz w:val="21"/>
                <w:szCs w:val="21"/>
                <w:lang w:val="en-US" w:eastAsia="zh-CN"/>
              </w:rPr>
            </w:pPr>
            <w:r>
              <w:rPr>
                <w:rFonts w:hint="eastAsia" w:ascii="宋体" w:hAnsi="宋体"/>
                <w:b/>
                <w:sz w:val="21"/>
                <w:szCs w:val="21"/>
                <w:lang w:val="en-US" w:eastAsia="zh-CN"/>
              </w:rPr>
              <w:t>0:2022.09.04</w:t>
            </w:r>
          </w:p>
        </w:tc>
        <w:tc>
          <w:tcPr>
            <w:tcW w:w="1672"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tcPr>
          <w:p>
            <w:pPr>
              <w:spacing w:line="260" w:lineRule="exact"/>
              <w:rPr>
                <w:rFonts w:hint="eastAsia"/>
                <w:b/>
                <w:sz w:val="20"/>
              </w:rPr>
            </w:pPr>
          </w:p>
          <w:p>
            <w:pPr>
              <w:spacing w:line="260" w:lineRule="exact"/>
              <w:rPr>
                <w:rFonts w:hint="default" w:ascii="宋体" w:eastAsia="宋体"/>
                <w:b/>
                <w:sz w:val="21"/>
                <w:lang w:val="en-US" w:eastAsia="zh-CN"/>
              </w:rPr>
            </w:pPr>
            <w:r>
              <w:rPr>
                <w:rFonts w:hint="eastAsia"/>
                <w:b/>
                <w:sz w:val="20"/>
              </w:rPr>
              <w:t>2019年08月26日</w:t>
            </w:r>
            <w:r>
              <w:rPr>
                <w:rFonts w:hint="eastAsia"/>
                <w:b/>
                <w:sz w:val="20"/>
                <w:lang w:val="en-US" w:eastAsia="zh-CN"/>
              </w:rPr>
              <w:t>至27日</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color w:val="000000" w:themeColor="text1"/>
          <w:sz w:val="21"/>
          <w:szCs w:val="21"/>
          <w14:textFill>
            <w14:solidFill>
              <w14:schemeClr w14:val="tx1"/>
            </w14:solidFill>
          </w14:textFill>
        </w:rPr>
      </w:pPr>
      <w:r>
        <w:rPr>
          <w:rFonts w:ascii="宋体" w:hAnsi="宋体"/>
          <w:b/>
          <w:sz w:val="21"/>
          <w:szCs w:val="21"/>
        </w:rPr>
        <w:t xml:space="preserve">3. </w:t>
      </w:r>
      <w:r>
        <w:rPr>
          <w:rFonts w:hint="eastAsia" w:ascii="宋体" w:hAnsi="宋体"/>
          <w:b/>
          <w:sz w:val="21"/>
          <w:szCs w:val="21"/>
        </w:rPr>
        <w:t>已审</w:t>
      </w:r>
      <w:r>
        <w:rPr>
          <w:rFonts w:hint="eastAsia" w:ascii="宋体" w:hAnsi="宋体"/>
          <w:b/>
          <w:color w:val="000000" w:themeColor="text1"/>
          <w:sz w:val="21"/>
          <w:szCs w:val="21"/>
          <w14:textFill>
            <w14:solidFill>
              <w14:schemeClr w14:val="tx1"/>
            </w14:solidFill>
          </w14:textFill>
        </w:rPr>
        <w:t>核具体的产品</w:t>
      </w:r>
      <w:r>
        <w:rPr>
          <w:rFonts w:ascii="宋体" w:hAnsi="宋体"/>
          <w:b/>
          <w:color w:val="000000" w:themeColor="text1"/>
          <w:sz w:val="21"/>
          <w:szCs w:val="21"/>
          <w14:textFill>
            <w14:solidFill>
              <w14:schemeClr w14:val="tx1"/>
            </w14:solidFill>
          </w14:textFill>
        </w:rPr>
        <w:t>/</w:t>
      </w:r>
      <w:r>
        <w:rPr>
          <w:rFonts w:hint="eastAsia" w:ascii="宋体" w:hAnsi="宋体"/>
          <w:b/>
          <w:color w:val="000000" w:themeColor="text1"/>
          <w:sz w:val="21"/>
          <w:szCs w:val="21"/>
          <w14:textFill>
            <w14:solidFill>
              <w14:schemeClr w14:val="tx1"/>
            </w14:solidFill>
          </w14:textFill>
        </w:rPr>
        <w:t>服务</w:t>
      </w:r>
      <w:r>
        <w:rPr>
          <w:rFonts w:ascii="宋体" w:hAnsi="宋体"/>
          <w:b/>
          <w:color w:val="000000" w:themeColor="text1"/>
          <w:sz w:val="21"/>
          <w:szCs w:val="21"/>
          <w14:textFill>
            <w14:solidFill>
              <w14:schemeClr w14:val="tx1"/>
            </w14:solidFill>
          </w14:textFill>
        </w:rPr>
        <w:t>/</w:t>
      </w:r>
      <w:r>
        <w:rPr>
          <w:rFonts w:hint="eastAsia" w:ascii="宋体" w:hAnsi="宋体"/>
          <w:b/>
          <w:color w:val="000000" w:themeColor="text1"/>
          <w:sz w:val="21"/>
          <w:szCs w:val="21"/>
          <w14:textFill>
            <w14:solidFill>
              <w14:schemeClr w14:val="tx1"/>
            </w14:solidFill>
          </w14:textFill>
        </w:rPr>
        <w:t>型号</w:t>
      </w:r>
      <w:r>
        <w:rPr>
          <w:rFonts w:ascii="宋体" w:hAnsi="宋体"/>
          <w:b/>
          <w:color w:val="000000" w:themeColor="text1"/>
          <w:sz w:val="21"/>
          <w:szCs w:val="21"/>
          <w14:textFill>
            <w14:solidFill>
              <w14:schemeClr w14:val="tx1"/>
            </w14:solidFill>
          </w14:textFill>
        </w:rPr>
        <w:t>/</w:t>
      </w:r>
      <w:r>
        <w:rPr>
          <w:rFonts w:hint="eastAsia" w:ascii="宋体" w:hAnsi="宋体"/>
          <w:b/>
          <w:color w:val="000000" w:themeColor="text1"/>
          <w:sz w:val="21"/>
          <w:szCs w:val="21"/>
          <w14:textFill>
            <w14:solidFill>
              <w14:schemeClr w14:val="tx1"/>
            </w14:solidFill>
          </w14:textFill>
        </w:rPr>
        <w:t>类型</w:t>
      </w:r>
      <w:r>
        <w:rPr>
          <w:rFonts w:ascii="宋体" w:hAnsi="宋体"/>
          <w:b/>
          <w:color w:val="000000" w:themeColor="text1"/>
          <w:sz w:val="21"/>
          <w:szCs w:val="21"/>
          <w14:textFill>
            <w14:solidFill>
              <w14:schemeClr w14:val="tx1"/>
            </w14:solidFill>
          </w14:textFill>
        </w:rPr>
        <w:t>/</w:t>
      </w:r>
      <w:r>
        <w:rPr>
          <w:rFonts w:hint="eastAsia" w:ascii="宋体" w:hAnsi="宋体"/>
          <w:b/>
          <w:color w:val="000000" w:themeColor="text1"/>
          <w:sz w:val="21"/>
          <w:szCs w:val="21"/>
          <w14:textFill>
            <w14:solidFill>
              <w14:schemeClr w14:val="tx1"/>
            </w14:solidFill>
          </w14:textFill>
        </w:rPr>
        <w:t>系列和过程（设计</w:t>
      </w:r>
      <w:r>
        <w:rPr>
          <w:rFonts w:ascii="宋体" w:hAnsi="宋体"/>
          <w:b/>
          <w:color w:val="000000" w:themeColor="text1"/>
          <w:sz w:val="21"/>
          <w:szCs w:val="21"/>
          <w14:textFill>
            <w14:solidFill>
              <w14:schemeClr w14:val="tx1"/>
            </w14:solidFill>
          </w14:textFill>
        </w:rPr>
        <w:t>/</w:t>
      </w:r>
      <w:r>
        <w:rPr>
          <w:rFonts w:hint="eastAsia" w:ascii="宋体" w:hAnsi="宋体"/>
          <w:b/>
          <w:color w:val="000000" w:themeColor="text1"/>
          <w:sz w:val="21"/>
          <w:szCs w:val="21"/>
          <w14:textFill>
            <w14:solidFill>
              <w14:schemeClr w14:val="tx1"/>
            </w14:solidFill>
          </w14:textFill>
        </w:rPr>
        <w:t>生产┄┄）是</w:t>
      </w:r>
    </w:p>
    <w:p>
      <w:pPr>
        <w:spacing w:line="360" w:lineRule="atLeast"/>
        <w:ind w:firstLine="211" w:firstLineChars="100"/>
        <w:rPr>
          <w:rFonts w:ascii="宋体" w:hAnsi="宋体"/>
          <w:b/>
          <w:color w:val="000000" w:themeColor="text1"/>
          <w:sz w:val="21"/>
          <w:szCs w:val="21"/>
          <w14:textFill>
            <w14:solidFill>
              <w14:schemeClr w14:val="tx1"/>
            </w14:solidFill>
          </w14:textFill>
        </w:rPr>
      </w:pPr>
      <w:r>
        <w:rPr>
          <w:rFonts w:hint="eastAsia" w:ascii="宋体" w:hAnsi="宋体"/>
          <w:b/>
          <w:color w:val="000000" w:themeColor="text1"/>
          <w:sz w:val="21"/>
          <w:szCs w:val="21"/>
          <w:lang w:eastAsia="zh-CN"/>
          <w14:textFill>
            <w14:solidFill>
              <w14:schemeClr w14:val="tx1"/>
            </w14:solidFill>
          </w14:textFill>
        </w:rPr>
        <w:t>■</w:t>
      </w:r>
      <w:r>
        <w:rPr>
          <w:rFonts w:hint="eastAsia" w:ascii="宋体" w:hAnsi="宋体"/>
          <w:b/>
          <w:color w:val="000000" w:themeColor="text1"/>
          <w:sz w:val="21"/>
          <w:szCs w:val="21"/>
          <w14:textFill>
            <w14:solidFill>
              <w14:schemeClr w14:val="tx1"/>
            </w14:solidFill>
          </w14:textFill>
        </w:rPr>
        <w:t>本次审核新增加范围的产品</w:t>
      </w:r>
      <w:r>
        <w:rPr>
          <w:rFonts w:ascii="宋体" w:hAnsi="宋体"/>
          <w:b/>
          <w:color w:val="000000" w:themeColor="text1"/>
          <w:sz w:val="21"/>
          <w:szCs w:val="21"/>
          <w14:textFill>
            <w14:solidFill>
              <w14:schemeClr w14:val="tx1"/>
            </w14:solidFill>
          </w14:textFill>
        </w:rPr>
        <w:t>/</w:t>
      </w:r>
      <w:r>
        <w:rPr>
          <w:rFonts w:hint="eastAsia" w:ascii="宋体" w:hAnsi="宋体"/>
          <w:b/>
          <w:color w:val="000000" w:themeColor="text1"/>
          <w:sz w:val="21"/>
          <w:szCs w:val="21"/>
          <w14:textFill>
            <w14:solidFill>
              <w14:schemeClr w14:val="tx1"/>
            </w14:solidFill>
          </w14:textFill>
        </w:rPr>
        <w:t>服务抽查了、</w:t>
      </w:r>
      <w:r>
        <w:rPr>
          <w:color w:val="000000" w:themeColor="text1"/>
          <w:sz w:val="20"/>
          <w14:textFill>
            <w14:solidFill>
              <w14:schemeClr w14:val="tx1"/>
            </w14:solidFill>
          </w14:textFill>
        </w:rPr>
        <w:t>劳务派遣</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w:t>
      </w:r>
      <w:r>
        <w:rPr>
          <w:rFonts w:hint="eastAsia" w:ascii="宋体" w:hAnsi="宋体"/>
          <w:b/>
          <w:sz w:val="21"/>
          <w:szCs w:val="21"/>
          <w:lang w:val="en-US" w:eastAsia="zh-CN"/>
        </w:rPr>
        <w:t>2020</w:t>
      </w:r>
      <w:r>
        <w:rPr>
          <w:rFonts w:hint="eastAsia" w:ascii="宋体" w:hAnsi="宋体"/>
          <w:b/>
          <w:sz w:val="21"/>
          <w:szCs w:val="21"/>
        </w:rPr>
        <w:t>年</w:t>
      </w:r>
      <w:r>
        <w:rPr>
          <w:rFonts w:hint="eastAsia" w:ascii="宋体" w:hAnsi="宋体"/>
          <w:b/>
          <w:sz w:val="21"/>
          <w:szCs w:val="21"/>
          <w:lang w:val="en-US" w:eastAsia="zh-CN"/>
        </w:rPr>
        <w:t>8</w:t>
      </w:r>
      <w:r>
        <w:rPr>
          <w:rFonts w:hint="eastAsia" w:ascii="宋体" w:hAnsi="宋体"/>
          <w:b/>
          <w:sz w:val="21"/>
          <w:szCs w:val="21"/>
        </w:rPr>
        <w:t>月</w:t>
      </w:r>
      <w:r>
        <w:rPr>
          <w:rFonts w:hint="eastAsia" w:ascii="宋体" w:hAnsi="宋体"/>
          <w:b/>
          <w:sz w:val="21"/>
          <w:szCs w:val="21"/>
          <w:lang w:val="en-US" w:eastAsia="zh-CN"/>
        </w:rPr>
        <w:t>27</w:t>
      </w:r>
      <w:r>
        <w:rPr>
          <w:rFonts w:hint="eastAsia" w:ascii="宋体" w:hAnsi="宋体"/>
          <w:b/>
          <w:sz w:val="21"/>
          <w:szCs w:val="21"/>
        </w:rPr>
        <w:t>日至</w:t>
      </w:r>
      <w:r>
        <w:rPr>
          <w:rFonts w:hint="eastAsia" w:ascii="宋体" w:hAnsi="宋体"/>
          <w:b/>
          <w:sz w:val="21"/>
          <w:szCs w:val="21"/>
          <w:lang w:val="en-US" w:eastAsia="zh-CN"/>
        </w:rPr>
        <w:t>2020</w:t>
      </w:r>
      <w:r>
        <w:rPr>
          <w:rFonts w:hint="eastAsia" w:ascii="宋体" w:hAnsi="宋体"/>
          <w:b/>
          <w:sz w:val="21"/>
          <w:szCs w:val="21"/>
        </w:rPr>
        <w:t>年</w:t>
      </w:r>
      <w:r>
        <w:rPr>
          <w:rFonts w:hint="eastAsia" w:ascii="宋体" w:hAnsi="宋体"/>
          <w:b/>
          <w:sz w:val="21"/>
          <w:szCs w:val="21"/>
          <w:lang w:val="en-US" w:eastAsia="zh-CN"/>
        </w:rPr>
        <w:t>12</w:t>
      </w:r>
      <w:r>
        <w:rPr>
          <w:rFonts w:hint="eastAsia" w:ascii="宋体" w:hAnsi="宋体"/>
          <w:b/>
          <w:sz w:val="21"/>
          <w:szCs w:val="21"/>
        </w:rPr>
        <w:t>月</w:t>
      </w:r>
      <w:r>
        <w:rPr>
          <w:rFonts w:hint="eastAsia" w:ascii="宋体" w:hAnsi="宋体"/>
          <w:b/>
          <w:sz w:val="21"/>
          <w:szCs w:val="21"/>
          <w:lang w:val="en-US" w:eastAsia="zh-CN"/>
        </w:rPr>
        <w:t>25</w:t>
      </w:r>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atLeast"/>
          <w:jc w:val="center"/>
        </w:trPr>
        <w:tc>
          <w:tcPr>
            <w:tcW w:w="720" w:type="dxa"/>
            <w:vMerge w:val="restart"/>
            <w:textDirection w:val="tbRlV"/>
            <w:vAlign w:val="center"/>
          </w:tcPr>
          <w:p>
            <w:pPr>
              <w:spacing w:line="240" w:lineRule="exact"/>
              <w:ind w:left="241" w:right="113" w:hanging="211" w:hangingChars="100"/>
              <w:jc w:val="center"/>
              <w:rPr>
                <w:rFonts w:ascii="宋体"/>
                <w:b/>
                <w:sz w:val="21"/>
                <w:szCs w:val="21"/>
              </w:rPr>
            </w:pPr>
            <w:r>
              <w:rPr>
                <w:rFonts w:ascii="宋体" w:hAnsi="宋体"/>
                <w:b/>
                <w:sz w:val="21"/>
                <w:szCs w:val="21"/>
              </w:rPr>
              <w:t>(</w:t>
            </w:r>
            <w:r>
              <w:rPr>
                <w:rFonts w:hint="eastAsia" w:ascii="宋体" w:hAnsi="宋体"/>
                <w:b/>
                <w:sz w:val="21"/>
                <w:szCs w:val="21"/>
              </w:rPr>
              <w:t>一</w:t>
            </w:r>
            <w:r>
              <w:rPr>
                <w:rFonts w:ascii="宋体" w:hAnsi="宋体"/>
                <w:b/>
                <w:sz w:val="21"/>
                <w:szCs w:val="21"/>
              </w:rPr>
              <w:t>)</w:t>
            </w:r>
            <w:r>
              <w:rPr>
                <w:rFonts w:hint="eastAsia" w:ascii="宋体" w:hAnsi="宋体"/>
                <w:b/>
                <w:sz w:val="21"/>
                <w:szCs w:val="21"/>
              </w:rPr>
              <w:t>策划的充分与合理性</w:t>
            </w:r>
          </w:p>
        </w:tc>
        <w:tc>
          <w:tcPr>
            <w:tcW w:w="9198" w:type="dxa"/>
            <w:vAlign w:val="top"/>
          </w:tcPr>
          <w:p>
            <w:pPr>
              <w:spacing w:line="240" w:lineRule="exact"/>
              <w:rPr>
                <w:b/>
                <w:color w:val="000000" w:themeColor="text1"/>
                <w:sz w:val="21"/>
                <w:szCs w:val="21"/>
              </w:rPr>
            </w:pPr>
            <w:r>
              <w:rPr>
                <w:b/>
                <w:color w:val="000000" w:themeColor="text1"/>
                <w:sz w:val="21"/>
                <w:szCs w:val="21"/>
              </w:rPr>
              <w:t>1、</w:t>
            </w:r>
            <w:r>
              <w:rPr>
                <w:rFonts w:hint="eastAsia"/>
                <w:b/>
                <w:color w:val="000000" w:themeColor="text1"/>
                <w:sz w:val="21"/>
                <w:szCs w:val="21"/>
              </w:rPr>
              <w:t>组织及其环境的识别情况</w:t>
            </w:r>
          </w:p>
          <w:p>
            <w:pPr>
              <w:spacing w:line="240" w:lineRule="exact"/>
              <w:rPr>
                <w:rFonts w:ascii="Times New Roman" w:hAnsi="Times New Roman" w:eastAsia="宋体" w:cs="Times New Roman"/>
                <w:b/>
                <w:color w:val="000000" w:themeColor="text1"/>
                <w:kern w:val="2"/>
                <w:sz w:val="21"/>
                <w:szCs w:val="21"/>
                <w:lang w:val="en-US" w:eastAsia="zh-CN" w:bidi="ar-SA"/>
              </w:rPr>
            </w:pPr>
            <w:r>
              <w:rPr>
                <w:rFonts w:hint="eastAsia" w:ascii="宋体" w:hAnsi="宋体"/>
                <w:color w:val="000000" w:themeColor="text1"/>
                <w:sz w:val="21"/>
                <w:szCs w:val="21"/>
              </w:rPr>
              <w:t>组织对内外部因素、相关方需求和期望进行了充分的识别，策划和实施有效。组织确定了体系的边界，基本适用。管理体系全条款适用</w:t>
            </w:r>
            <w:r>
              <w:rPr>
                <w:rFonts w:hint="eastAsia" w:ascii="华文楷体" w:hAnsi="华文楷体" w:eastAsia="华文楷体"/>
                <w:bCs/>
                <w:iCs/>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3" w:hRule="atLeast"/>
          <w:jc w:val="center"/>
        </w:trPr>
        <w:tc>
          <w:tcPr>
            <w:tcW w:w="720" w:type="dxa"/>
            <w:vMerge w:val="continue"/>
            <w:textDirection w:val="tbRlV"/>
            <w:vAlign w:val="center"/>
          </w:tcPr>
          <w:p>
            <w:pPr>
              <w:spacing w:line="240" w:lineRule="exact"/>
              <w:ind w:left="241" w:right="113" w:hanging="211" w:hangingChars="100"/>
              <w:jc w:val="center"/>
              <w:rPr>
                <w:rFonts w:ascii="宋体"/>
                <w:b/>
                <w:sz w:val="21"/>
                <w:szCs w:val="21"/>
              </w:rPr>
            </w:pPr>
          </w:p>
        </w:tc>
        <w:tc>
          <w:tcPr>
            <w:tcW w:w="9198" w:type="dxa"/>
            <w:vAlign w:val="top"/>
          </w:tcPr>
          <w:p>
            <w:pPr>
              <w:spacing w:line="240" w:lineRule="exact"/>
              <w:rPr>
                <w:b/>
                <w:color w:val="000000" w:themeColor="text1"/>
                <w:sz w:val="21"/>
                <w:szCs w:val="21"/>
              </w:rPr>
            </w:pPr>
            <w:r>
              <w:rPr>
                <w:b/>
                <w:color w:val="000000" w:themeColor="text1"/>
                <w:sz w:val="21"/>
                <w:szCs w:val="21"/>
              </w:rPr>
              <w:t>2、</w:t>
            </w:r>
            <w:r>
              <w:rPr>
                <w:rFonts w:hint="eastAsia"/>
                <w:b/>
                <w:color w:val="000000" w:themeColor="text1"/>
                <w:sz w:val="21"/>
                <w:szCs w:val="21"/>
              </w:rPr>
              <w:t>相关方需求和期望识别情况</w:t>
            </w:r>
          </w:p>
          <w:p>
            <w:pPr>
              <w:spacing w:line="240" w:lineRule="exact"/>
              <w:rPr>
                <w:rFonts w:ascii="Times New Roman" w:hAnsi="Times New Roman" w:eastAsia="宋体" w:cs="Times New Roman"/>
                <w:b/>
                <w:color w:val="000000" w:themeColor="text1"/>
                <w:kern w:val="2"/>
                <w:sz w:val="21"/>
                <w:szCs w:val="21"/>
                <w:lang w:val="en-US" w:eastAsia="zh-CN" w:bidi="ar-SA"/>
              </w:rPr>
            </w:pPr>
            <w:r>
              <w:rPr>
                <w:rFonts w:hint="eastAsia" w:ascii="宋体" w:hAnsi="宋体" w:cs="宋体"/>
                <w:color w:val="000000"/>
                <w:sz w:val="21"/>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43" w:hRule="atLeast"/>
          <w:jc w:val="center"/>
        </w:trPr>
        <w:tc>
          <w:tcPr>
            <w:tcW w:w="720" w:type="dxa"/>
            <w:vMerge w:val="continue"/>
            <w:textDirection w:val="tbRlV"/>
            <w:vAlign w:val="center"/>
          </w:tcPr>
          <w:p>
            <w:pPr>
              <w:spacing w:line="240" w:lineRule="exact"/>
              <w:ind w:left="241" w:right="113" w:hanging="211" w:hangingChars="100"/>
              <w:jc w:val="center"/>
              <w:rPr>
                <w:rFonts w:ascii="宋体"/>
                <w:b/>
                <w:sz w:val="21"/>
                <w:szCs w:val="21"/>
              </w:rPr>
            </w:pPr>
          </w:p>
        </w:tc>
        <w:tc>
          <w:tcPr>
            <w:tcW w:w="9198" w:type="dxa"/>
            <w:vAlign w:val="top"/>
          </w:tcPr>
          <w:p>
            <w:pPr>
              <w:spacing w:line="280" w:lineRule="exact"/>
              <w:rPr>
                <w:rFonts w:ascii="宋体" w:hAnsi="宋体"/>
                <w:b/>
                <w:color w:val="000000" w:themeColor="text1"/>
                <w:sz w:val="21"/>
                <w:szCs w:val="21"/>
              </w:rPr>
            </w:pPr>
            <w:r>
              <w:rPr>
                <w:b/>
                <w:color w:val="000000" w:themeColor="text1"/>
                <w:sz w:val="21"/>
                <w:szCs w:val="21"/>
              </w:rPr>
              <w:t>3.</w:t>
            </w:r>
            <w:r>
              <w:rPr>
                <w:rFonts w:hint="eastAsia"/>
                <w:b/>
                <w:color w:val="000000" w:themeColor="text1"/>
                <w:sz w:val="21"/>
                <w:szCs w:val="21"/>
              </w:rPr>
              <w:t>■</w:t>
            </w:r>
            <w:r>
              <w:rPr>
                <w:rFonts w:hint="eastAsia" w:ascii="宋体" w:hAnsi="宋体"/>
                <w:b/>
                <w:color w:val="000000" w:themeColor="text1"/>
                <w:sz w:val="21"/>
                <w:szCs w:val="21"/>
              </w:rPr>
              <w:t>质量/■环境/■职业健康安全方针（组织</w:t>
            </w:r>
            <w:r>
              <w:rPr>
                <w:rFonts w:hint="eastAsia"/>
                <w:b/>
                <w:color w:val="000000" w:themeColor="text1"/>
                <w:sz w:val="21"/>
                <w:szCs w:val="21"/>
              </w:rPr>
              <w:t>方针</w:t>
            </w:r>
            <w:r>
              <w:rPr>
                <w:rFonts w:hint="eastAsia" w:ascii="宋体" w:hAnsi="宋体"/>
                <w:b/>
                <w:color w:val="000000" w:themeColor="text1"/>
                <w:sz w:val="21"/>
                <w:szCs w:val="21"/>
              </w:rPr>
              <w:t>的适宜性/持续适宜性、方针的传达及职工的理解等）</w:t>
            </w:r>
          </w:p>
          <w:p>
            <w:pPr>
              <w:ind w:firstLine="472" w:firstLineChars="225"/>
              <w:rPr>
                <w:rFonts w:ascii="Times New Roman" w:hAnsi="Times New Roman" w:eastAsia="宋体" w:cs="Times New Roman"/>
                <w:b/>
                <w:color w:val="000000" w:themeColor="text1"/>
                <w:kern w:val="2"/>
                <w:sz w:val="21"/>
                <w:szCs w:val="21"/>
                <w:lang w:val="en-US" w:eastAsia="zh-CN" w:bidi="ar-SA"/>
              </w:rPr>
            </w:pPr>
            <w:r>
              <w:rPr>
                <w:rFonts w:hint="eastAsia" w:ascii="宋体" w:hAnsi="宋体"/>
                <w:color w:val="000000" w:themeColor="text1"/>
                <w:sz w:val="21"/>
                <w:szCs w:val="21"/>
              </w:rPr>
              <w:t>最高管理者组织制定了方针：现行的管理方针在管理手册有专门的释议，具备适宜性。通过会议、张贴等方式进行传达宣贯，管理绩效表明其方针能够通过管理体系加以有效实施、实现及动态管理，实际未发生变更。管理方针：</w:t>
            </w:r>
            <w:r>
              <w:rPr>
                <w:rFonts w:hint="eastAsia" w:ascii="宋体" w:hAnsi="宋体" w:cs="宋体"/>
                <w:b/>
                <w:sz w:val="21"/>
                <w:szCs w:val="21"/>
              </w:rPr>
              <w:t>“</w:t>
            </w:r>
            <w:r>
              <w:rPr>
                <w:rFonts w:hint="eastAsia" w:ascii="宋体" w:hAnsi="宋体" w:cs="宋体"/>
                <w:sz w:val="21"/>
                <w:szCs w:val="21"/>
              </w:rPr>
              <w:t>市场第一、顾客满意</w:t>
            </w:r>
            <w:r>
              <w:rPr>
                <w:rFonts w:hint="eastAsia" w:hAnsi="宋体" w:cs="宋体"/>
                <w:sz w:val="21"/>
                <w:szCs w:val="21"/>
              </w:rPr>
              <w:t>、</w:t>
            </w:r>
            <w:r>
              <w:rPr>
                <w:rFonts w:hint="eastAsia" w:ascii="宋体" w:hAnsi="宋体" w:cs="宋体"/>
                <w:sz w:val="21"/>
                <w:szCs w:val="21"/>
              </w:rPr>
              <w:t>保护环境、预防为主</w:t>
            </w:r>
            <w:r>
              <w:rPr>
                <w:rFonts w:hint="eastAsia" w:hAnsi="宋体" w:cs="宋体"/>
                <w:sz w:val="21"/>
                <w:szCs w:val="21"/>
              </w:rPr>
              <w:t>、</w:t>
            </w:r>
            <w:r>
              <w:rPr>
                <w:rFonts w:hint="eastAsia" w:ascii="宋体" w:hAnsi="宋体" w:cs="宋体"/>
                <w:sz w:val="21"/>
                <w:szCs w:val="21"/>
              </w:rPr>
              <w:t>全员安全、持续改进</w:t>
            </w:r>
            <w:r>
              <w:rPr>
                <w:rFonts w:hint="eastAsia" w:ascii="宋体" w:hAnsi="宋体" w:cs="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9" w:hRule="atLeast"/>
          <w:jc w:val="center"/>
        </w:trPr>
        <w:tc>
          <w:tcPr>
            <w:tcW w:w="720" w:type="dxa"/>
            <w:vMerge w:val="continue"/>
            <w:textDirection w:val="tbRlV"/>
            <w:vAlign w:val="center"/>
          </w:tcPr>
          <w:p>
            <w:pPr>
              <w:spacing w:line="240" w:lineRule="exact"/>
              <w:ind w:left="241" w:right="113" w:hanging="211" w:hangingChars="100"/>
              <w:jc w:val="center"/>
              <w:rPr>
                <w:rFonts w:ascii="宋体"/>
                <w:b/>
                <w:sz w:val="21"/>
                <w:szCs w:val="21"/>
              </w:rPr>
            </w:pPr>
          </w:p>
        </w:tc>
        <w:tc>
          <w:tcPr>
            <w:tcW w:w="9198" w:type="dxa"/>
            <w:vAlign w:val="top"/>
          </w:tcPr>
          <w:p>
            <w:pPr>
              <w:spacing w:line="240" w:lineRule="exact"/>
              <w:rPr>
                <w:b/>
                <w:color w:val="000000" w:themeColor="text1"/>
                <w:sz w:val="21"/>
                <w:szCs w:val="21"/>
              </w:rPr>
            </w:pPr>
            <w:r>
              <w:rPr>
                <w:b/>
                <w:color w:val="000000" w:themeColor="text1"/>
                <w:sz w:val="21"/>
                <w:szCs w:val="21"/>
              </w:rPr>
              <w:t>4、</w:t>
            </w:r>
            <w:r>
              <w:rPr>
                <w:rFonts w:hint="eastAsia"/>
                <w:b/>
                <w:color w:val="000000" w:themeColor="text1"/>
                <w:sz w:val="21"/>
                <w:szCs w:val="21"/>
              </w:rPr>
              <w:t>风险识别与控制策划（QMS）</w:t>
            </w:r>
          </w:p>
          <w:p>
            <w:pPr>
              <w:spacing w:line="240" w:lineRule="exact"/>
              <w:ind w:firstLine="210" w:firstLineChars="100"/>
              <w:rPr>
                <w:rFonts w:ascii="宋体" w:hAnsi="宋体" w:eastAsia="宋体" w:cs="Times New Roman"/>
                <w:color w:val="000000" w:themeColor="text1"/>
                <w:kern w:val="2"/>
                <w:sz w:val="21"/>
                <w:szCs w:val="21"/>
                <w:lang w:val="en-US" w:eastAsia="zh-CN" w:bidi="ar-SA"/>
              </w:rPr>
            </w:pPr>
            <w:r>
              <w:rPr>
                <w:rFonts w:hint="eastAsia" w:ascii="宋体" w:hAnsi="宋体"/>
                <w:color w:val="000000" w:themeColor="text1"/>
                <w:sz w:val="21"/>
                <w:szCs w:val="21"/>
              </w:rPr>
              <w:t>制定并实施了相关程序和安全生产管理制度</w:t>
            </w:r>
            <w:r>
              <w:rPr>
                <w:rFonts w:ascii="宋体" w:hAnsi="宋体"/>
                <w:color w:val="000000" w:themeColor="text1"/>
                <w:sz w:val="21"/>
                <w:szCs w:val="21"/>
              </w:rPr>
              <w:t>，</w:t>
            </w:r>
            <w:r>
              <w:rPr>
                <w:rFonts w:hint="eastAsia" w:ascii="宋体" w:hAnsi="宋体"/>
                <w:color w:val="000000" w:themeColor="text1"/>
                <w:sz w:val="21"/>
                <w:szCs w:val="21"/>
              </w:rPr>
              <w:t>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sz w:val="21"/>
                <w:szCs w:val="21"/>
              </w:rPr>
            </w:pPr>
          </w:p>
        </w:tc>
        <w:tc>
          <w:tcPr>
            <w:tcW w:w="9198" w:type="dxa"/>
            <w:vAlign w:val="top"/>
          </w:tcPr>
          <w:p>
            <w:pPr>
              <w:spacing w:line="300" w:lineRule="exact"/>
              <w:rPr>
                <w:rFonts w:ascii="宋体" w:hAnsi="宋体"/>
                <w:b/>
                <w:color w:val="000000" w:themeColor="text1"/>
                <w:sz w:val="21"/>
                <w:szCs w:val="21"/>
                <w14:textFill>
                  <w14:solidFill>
                    <w14:schemeClr w14:val="tx1"/>
                  </w14:solidFill>
                </w14:textFill>
              </w:rPr>
            </w:pPr>
            <w:r>
              <w:rPr>
                <w:rFonts w:hint="eastAsia"/>
                <w:b/>
                <w:color w:val="000000" w:themeColor="text1"/>
                <w:sz w:val="21"/>
                <w:szCs w:val="21"/>
              </w:rPr>
              <w:t>5.</w:t>
            </w:r>
            <w:r>
              <w:rPr>
                <w:b/>
                <w:color w:val="000000" w:themeColor="text1"/>
                <w:sz w:val="21"/>
                <w:szCs w:val="21"/>
              </w:rPr>
              <w:t>QMS</w:t>
            </w:r>
            <w:r>
              <w:rPr>
                <w:rFonts w:hint="eastAsia" w:ascii="宋体" w:hAnsi="宋体"/>
                <w:b/>
                <w:color w:val="000000" w:themeColor="text1"/>
                <w:sz w:val="21"/>
                <w:szCs w:val="21"/>
              </w:rPr>
              <w:t>过程</w:t>
            </w:r>
          </w:p>
          <w:p>
            <w:pPr>
              <w:tabs>
                <w:tab w:val="left" w:pos="540"/>
              </w:tabs>
              <w:spacing w:line="300" w:lineRule="exact"/>
              <w:ind w:left="201" w:hanging="211" w:hangingChars="100"/>
              <w:rPr>
                <w:rFonts w:ascii="宋体" w:hAnsi="宋体"/>
                <w:b/>
                <w:color w:val="000000" w:themeColor="text1"/>
                <w:sz w:val="21"/>
                <w:szCs w:val="21"/>
                <w:u w:val="single"/>
                <w14:textFill>
                  <w14:solidFill>
                    <w14:schemeClr w14:val="tx1"/>
                  </w14:solidFill>
                </w14:textFill>
              </w:rPr>
            </w:pPr>
            <w:r>
              <w:rPr>
                <w:rFonts w:hint="eastAsia" w:ascii="宋体" w:hAnsi="宋体"/>
                <w:b/>
                <w:color w:val="000000" w:themeColor="text1"/>
                <w:sz w:val="21"/>
                <w:szCs w:val="21"/>
                <w14:textFill>
                  <w14:solidFill>
                    <w14:schemeClr w14:val="tx1"/>
                  </w14:solidFill>
                </w14:textFill>
              </w:rPr>
              <w:t>质量管理体系过程有：</w:t>
            </w:r>
            <w:r>
              <w:rPr>
                <w:rFonts w:hint="eastAsia" w:ascii="宋体" w:hAnsi="宋体"/>
                <w:b/>
                <w:color w:val="000000" w:themeColor="text1"/>
                <w:sz w:val="21"/>
                <w:szCs w:val="21"/>
                <w:lang w:val="en-US" w:eastAsia="zh-CN"/>
                <w14:textFill>
                  <w14:solidFill>
                    <w14:schemeClr w14:val="tx1"/>
                  </w14:solidFill>
                </w14:textFill>
              </w:rPr>
              <w:t>软件开发、</w:t>
            </w:r>
            <w:r>
              <w:rPr>
                <w:rFonts w:hint="eastAsia" w:ascii="宋体" w:hAnsi="宋体"/>
                <w:b/>
                <w:color w:val="000000" w:themeColor="text1"/>
                <w:sz w:val="21"/>
                <w:szCs w:val="21"/>
                <w14:textFill>
                  <w14:solidFill>
                    <w14:schemeClr w14:val="tx1"/>
                  </w14:solidFill>
                </w14:textFill>
              </w:rPr>
              <w:t>会议及展览</w:t>
            </w:r>
            <w:r>
              <w:rPr>
                <w:rFonts w:hint="eastAsia" w:ascii="宋体" w:hAnsi="宋体"/>
                <w:b/>
                <w:color w:val="000000" w:themeColor="text1"/>
                <w:sz w:val="21"/>
                <w:szCs w:val="21"/>
                <w:lang w:val="en-US" w:eastAsia="zh-CN"/>
                <w14:textFill>
                  <w14:solidFill>
                    <w14:schemeClr w14:val="tx1"/>
                  </w14:solidFill>
                </w14:textFill>
              </w:rPr>
              <w:t>策划、劳务派遣、</w:t>
            </w:r>
            <w:r>
              <w:rPr>
                <w:rFonts w:hint="eastAsia" w:ascii="宋体" w:hAnsi="宋体"/>
                <w:b/>
                <w:color w:val="000000" w:themeColor="text1"/>
                <w:sz w:val="21"/>
                <w:szCs w:val="21"/>
                <w14:textFill>
                  <w14:solidFill>
                    <w14:schemeClr w14:val="tx1"/>
                  </w14:solidFill>
                </w14:textFill>
              </w:rPr>
              <w:t>合同评审管理过程。</w:t>
            </w:r>
          </w:p>
          <w:p>
            <w:pPr>
              <w:tabs>
                <w:tab w:val="left" w:pos="540"/>
              </w:tabs>
              <w:spacing w:line="300" w:lineRule="exact"/>
              <w:ind w:left="201" w:hanging="211" w:hangingChars="100"/>
              <w:rPr>
                <w:rFonts w:ascii="宋体" w:hAnsi="宋体"/>
                <w:b/>
                <w:color w:val="000000" w:themeColor="text1"/>
                <w:sz w:val="21"/>
                <w:szCs w:val="21"/>
                <w:u w:val="single"/>
                <w14:textFill>
                  <w14:solidFill>
                    <w14:schemeClr w14:val="tx1"/>
                  </w14:solidFill>
                </w14:textFill>
              </w:rPr>
            </w:pPr>
            <w:r>
              <w:rPr>
                <w:rFonts w:hint="eastAsia" w:ascii="宋体" w:hAnsi="宋体"/>
                <w:b/>
                <w:color w:val="000000" w:themeColor="text1"/>
                <w:sz w:val="21"/>
                <w:szCs w:val="21"/>
                <w14:textFill>
                  <w14:solidFill>
                    <w14:schemeClr w14:val="tx1"/>
                  </w14:solidFill>
                </w14:textFill>
              </w:rPr>
              <w:t>其中关键过程有：</w:t>
            </w:r>
            <w:r>
              <w:rPr>
                <w:rFonts w:hint="eastAsia" w:ascii="宋体" w:hAnsi="宋体"/>
                <w:b/>
                <w:color w:val="000000" w:themeColor="text1"/>
                <w:sz w:val="21"/>
                <w:szCs w:val="21"/>
                <w:lang w:val="en-US" w:eastAsia="zh-CN"/>
                <w14:textFill>
                  <w14:solidFill>
                    <w14:schemeClr w14:val="tx1"/>
                  </w14:solidFill>
                </w14:textFill>
              </w:rPr>
              <w:t>软件开发过程、会议展览、劳务派遣服务过程</w:t>
            </w:r>
            <w:r>
              <w:rPr>
                <w:rFonts w:hint="eastAsia" w:ascii="宋体" w:hAnsi="宋体"/>
                <w:b/>
                <w:color w:val="000000" w:themeColor="text1"/>
                <w:sz w:val="21"/>
                <w:szCs w:val="21"/>
                <w14:textFill>
                  <w14:solidFill>
                    <w14:schemeClr w14:val="tx1"/>
                  </w14:solidFill>
                </w14:textFill>
              </w:rPr>
              <w:t>。</w:t>
            </w:r>
          </w:p>
          <w:p>
            <w:pPr>
              <w:tabs>
                <w:tab w:val="left" w:pos="540"/>
              </w:tabs>
              <w:spacing w:line="300" w:lineRule="exact"/>
              <w:ind w:left="201" w:hanging="211" w:hangingChars="100"/>
              <w:rPr>
                <w:rFonts w:ascii="宋体" w:hAnsi="宋体"/>
                <w:b/>
                <w:color w:val="000000" w:themeColor="text1"/>
                <w:sz w:val="21"/>
                <w:szCs w:val="21"/>
                <w:u w:val="single"/>
                <w14:textFill>
                  <w14:solidFill>
                    <w14:schemeClr w14:val="tx1"/>
                  </w14:solidFill>
                </w14:textFill>
              </w:rPr>
            </w:pPr>
            <w:r>
              <w:rPr>
                <w:rFonts w:hint="eastAsia" w:ascii="宋体" w:hAnsi="宋体"/>
                <w:b/>
                <w:color w:val="000000" w:themeColor="text1"/>
                <w:sz w:val="21"/>
                <w:szCs w:val="21"/>
                <w:lang w:val="en-US" w:eastAsia="zh-CN"/>
                <w14:textFill>
                  <w14:solidFill>
                    <w14:schemeClr w14:val="tx1"/>
                  </w14:solidFill>
                </w14:textFill>
              </w:rPr>
              <w:t>需确认/特殊过程：无</w:t>
            </w:r>
            <w:r>
              <w:rPr>
                <w:rFonts w:hint="eastAsia" w:ascii="宋体" w:hAnsi="宋体"/>
                <w:b/>
                <w:color w:val="000000" w:themeColor="text1"/>
                <w:sz w:val="21"/>
                <w:szCs w:val="21"/>
                <w14:textFill>
                  <w14:solidFill>
                    <w14:schemeClr w14:val="tx1"/>
                  </w14:solidFill>
                </w14:textFill>
              </w:rPr>
              <w:t xml:space="preserve">  </w:t>
            </w:r>
          </w:p>
          <w:p>
            <w:pPr>
              <w:tabs>
                <w:tab w:val="left" w:pos="540"/>
              </w:tabs>
              <w:spacing w:line="300" w:lineRule="exact"/>
              <w:ind w:left="211" w:leftChars="0" w:hanging="211" w:hangingChars="100"/>
              <w:rPr>
                <w:rFonts w:ascii="宋体" w:hAnsi="宋体" w:eastAsia="宋体" w:cs="Times New Roman"/>
                <w:b/>
                <w:color w:val="000000" w:themeColor="text1"/>
                <w:kern w:val="2"/>
                <w:sz w:val="21"/>
                <w:szCs w:val="21"/>
                <w:lang w:val="en-US" w:eastAsia="zh-CN" w:bidi="ar-SA"/>
              </w:rPr>
            </w:pPr>
            <w:r>
              <w:rPr>
                <w:b/>
                <w:color w:val="000000" w:themeColor="text1"/>
                <w:sz w:val="21"/>
                <w:szCs w:val="21"/>
                <w14:textFill>
                  <w14:solidFill>
                    <w14:schemeClr w14:val="tx1"/>
                  </w14:solidFill>
                </w14:textFill>
              </w:rPr>
              <w:pict>
                <v:shape id="_x0000_s2053" o:spid="_x0000_s2053" o:spt="32" type="#_x0000_t32" style="position:absolute;left:0pt;margin-left:157.9pt;margin-top:12.75pt;height:0pt;width:261.75pt;z-index:251689984;mso-width-relative:page;mso-height-relative:page;" o:connectortype="straight" filled="f" coordsize="21600,21600">
                  <v:path arrowok="t"/>
                  <v:fill on="f" focussize="0,0"/>
                  <v:stroke/>
                  <v:imagedata o:title=""/>
                  <o:lock v:ext="edit"/>
                </v:shape>
              </w:pict>
            </w:r>
            <w:r>
              <w:rPr>
                <w:rFonts w:ascii="宋体" w:hAnsi="宋体"/>
                <w:b/>
                <w:color w:val="000000" w:themeColor="text1"/>
                <w:sz w:val="21"/>
                <w:szCs w:val="21"/>
                <w14:textFill>
                  <w14:solidFill>
                    <w14:schemeClr w14:val="tx1"/>
                  </w14:solidFill>
                </w14:textFill>
              </w:rPr>
              <w:pict>
                <v:shape id="_x0000_s2054" o:spid="_x0000_s2054" o:spt="32" type="#_x0000_t32" style="position:absolute;left:0pt;margin-left:55.15pt;margin-top:12.75pt;height:0pt;width:42pt;z-index:251688960;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1"/>
                <w:szCs w:val="21"/>
                <w14:textFill>
                  <w14:solidFill>
                    <w14:schemeClr w14:val="tx1"/>
                  </w14:solidFill>
                </w14:textFill>
              </w:rPr>
              <w:t xml:space="preserve">不适用条款是      ，不适用理由：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4" w:hRule="atLeast"/>
          <w:jc w:val="center"/>
        </w:trPr>
        <w:tc>
          <w:tcPr>
            <w:tcW w:w="720" w:type="dxa"/>
            <w:vMerge w:val="continue"/>
            <w:vAlign w:val="center"/>
          </w:tcPr>
          <w:p>
            <w:pPr>
              <w:spacing w:line="240" w:lineRule="exact"/>
              <w:jc w:val="center"/>
              <w:rPr>
                <w:b/>
                <w:sz w:val="21"/>
                <w:szCs w:val="21"/>
              </w:rPr>
            </w:pPr>
          </w:p>
        </w:tc>
        <w:tc>
          <w:tcPr>
            <w:tcW w:w="9198" w:type="dxa"/>
            <w:vAlign w:val="top"/>
          </w:tcPr>
          <w:p>
            <w:pPr>
              <w:spacing w:line="300" w:lineRule="exact"/>
              <w:rPr>
                <w:rFonts w:ascii="宋体" w:hAnsi="宋体"/>
                <w:b/>
                <w:color w:val="000000" w:themeColor="text1"/>
                <w:spacing w:val="-12"/>
                <w:sz w:val="21"/>
                <w:szCs w:val="21"/>
              </w:rPr>
            </w:pPr>
            <w:r>
              <w:rPr>
                <w:rFonts w:hint="eastAsia"/>
                <w:b/>
                <w:color w:val="000000" w:themeColor="text1"/>
                <w:sz w:val="21"/>
                <w:szCs w:val="21"/>
              </w:rPr>
              <w:t xml:space="preserve">6. </w:t>
            </w:r>
            <w:r>
              <w:rPr>
                <w:b/>
                <w:color w:val="000000" w:themeColor="text1"/>
                <w:spacing w:val="-12"/>
                <w:sz w:val="21"/>
                <w:szCs w:val="21"/>
              </w:rPr>
              <w:t>EMS</w:t>
            </w:r>
            <w:r>
              <w:rPr>
                <w:rFonts w:hint="eastAsia" w:ascii="宋体" w:hAnsi="宋体"/>
                <w:b/>
                <w:color w:val="000000" w:themeColor="text1"/>
                <w:spacing w:val="-12"/>
                <w:sz w:val="21"/>
                <w:szCs w:val="21"/>
              </w:rPr>
              <w:t>环境因素/</w:t>
            </w:r>
            <w:r>
              <w:rPr>
                <w:rFonts w:ascii="宋体" w:hAnsi="宋体"/>
                <w:b/>
                <w:color w:val="000000" w:themeColor="text1"/>
                <w:spacing w:val="-12"/>
                <w:sz w:val="21"/>
                <w:szCs w:val="21"/>
              </w:rPr>
              <w:t xml:space="preserve"> </w:t>
            </w:r>
          </w:p>
          <w:p>
            <w:pPr>
              <w:spacing w:line="300" w:lineRule="exact"/>
              <w:rPr>
                <w:rFonts w:ascii="宋体" w:hAnsi="宋体"/>
                <w:b/>
                <w:color w:val="000000" w:themeColor="text1"/>
                <w:spacing w:val="-8"/>
                <w:sz w:val="21"/>
                <w:szCs w:val="21"/>
              </w:rPr>
            </w:pPr>
            <w:r>
              <w:rPr>
                <w:rFonts w:hint="eastAsia" w:ascii="宋体" w:hAnsi="宋体"/>
                <w:b/>
                <w:color w:val="000000" w:themeColor="text1"/>
                <w:sz w:val="21"/>
                <w:szCs w:val="21"/>
              </w:rPr>
              <w:t>（</w:t>
            </w:r>
            <w:r>
              <w:rPr>
                <w:rFonts w:hint="eastAsia" w:ascii="宋体" w:hAnsi="宋体"/>
                <w:b/>
                <w:color w:val="000000" w:themeColor="text1"/>
                <w:spacing w:val="-8"/>
                <w:sz w:val="21"/>
                <w:szCs w:val="21"/>
              </w:rPr>
              <w:t>环境因素</w:t>
            </w:r>
            <w:r>
              <w:rPr>
                <w:rFonts w:hint="eastAsia" w:ascii="宋体" w:hAnsi="宋体"/>
                <w:b/>
                <w:color w:val="000000" w:themeColor="text1"/>
                <w:sz w:val="21"/>
                <w:szCs w:val="21"/>
              </w:rPr>
              <w:t>辨识是否充分、重要环境因素评价合理性，</w:t>
            </w:r>
            <w:r>
              <w:rPr>
                <w:rFonts w:hint="eastAsia" w:ascii="宋体" w:hAnsi="宋体"/>
                <w:b/>
                <w:color w:val="000000" w:themeColor="text1"/>
                <w:spacing w:val="-8"/>
                <w:sz w:val="21"/>
                <w:szCs w:val="21"/>
              </w:rPr>
              <w:t>以及环境因素动态变更的及时性等）</w:t>
            </w:r>
          </w:p>
          <w:p>
            <w:pPr>
              <w:spacing w:line="300" w:lineRule="exact"/>
              <w:ind w:firstLine="315" w:firstLineChars="150"/>
              <w:rPr>
                <w:rFonts w:cs="Times New Roman" w:asciiTheme="minorEastAsia" w:hAnsiTheme="minorEastAsia" w:eastAsiaTheme="minorEastAsia"/>
                <w:b/>
                <w:color w:val="000000" w:themeColor="text1"/>
                <w:kern w:val="2"/>
                <w:sz w:val="21"/>
                <w:szCs w:val="21"/>
                <w:lang w:val="en-US" w:eastAsia="zh-CN" w:bidi="ar-SA"/>
              </w:rPr>
            </w:pPr>
            <w:r>
              <w:rPr>
                <w:rFonts w:hint="eastAsia" w:asciiTheme="minorEastAsia" w:hAnsiTheme="minorEastAsia" w:eastAsiaTheme="minorEastAsia"/>
                <w:bCs/>
                <w:iCs/>
                <w:sz w:val="21"/>
                <w:szCs w:val="21"/>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2" w:hRule="atLeast"/>
          <w:jc w:val="center"/>
        </w:trPr>
        <w:tc>
          <w:tcPr>
            <w:tcW w:w="720" w:type="dxa"/>
            <w:vMerge w:val="continue"/>
            <w:vAlign w:val="center"/>
          </w:tcPr>
          <w:p>
            <w:pPr>
              <w:spacing w:line="240" w:lineRule="exact"/>
              <w:jc w:val="center"/>
              <w:rPr>
                <w:b/>
                <w:sz w:val="21"/>
                <w:szCs w:val="21"/>
              </w:rPr>
            </w:pPr>
          </w:p>
        </w:tc>
        <w:tc>
          <w:tcPr>
            <w:tcW w:w="9198" w:type="dxa"/>
            <w:vAlign w:val="top"/>
          </w:tcPr>
          <w:p>
            <w:pPr>
              <w:spacing w:line="300" w:lineRule="exact"/>
              <w:rPr>
                <w:rFonts w:ascii="宋体" w:hAnsi="宋体"/>
                <w:b/>
                <w:color w:val="000000" w:themeColor="text1"/>
                <w:spacing w:val="-12"/>
                <w:sz w:val="21"/>
                <w:szCs w:val="21"/>
              </w:rPr>
            </w:pPr>
            <w:r>
              <w:rPr>
                <w:rFonts w:hint="eastAsia"/>
                <w:b/>
                <w:color w:val="000000" w:themeColor="text1"/>
                <w:spacing w:val="-10"/>
                <w:sz w:val="21"/>
                <w:szCs w:val="21"/>
              </w:rPr>
              <w:t xml:space="preserve">7. </w:t>
            </w:r>
            <w:r>
              <w:rPr>
                <w:b/>
                <w:color w:val="000000" w:themeColor="text1"/>
                <w:spacing w:val="-12"/>
                <w:sz w:val="21"/>
                <w:szCs w:val="21"/>
              </w:rPr>
              <w:t>OHSMS</w:t>
            </w:r>
            <w:r>
              <w:rPr>
                <w:rFonts w:hint="eastAsia" w:ascii="宋体" w:hAnsi="宋体"/>
                <w:b/>
                <w:color w:val="000000" w:themeColor="text1"/>
                <w:spacing w:val="-12"/>
                <w:sz w:val="21"/>
                <w:szCs w:val="21"/>
              </w:rPr>
              <w:t>职业健康安全危险源</w:t>
            </w:r>
          </w:p>
          <w:p>
            <w:pPr>
              <w:spacing w:line="300" w:lineRule="exact"/>
              <w:rPr>
                <w:rFonts w:ascii="宋体" w:hAnsi="宋体"/>
                <w:b/>
                <w:color w:val="000000" w:themeColor="text1"/>
                <w:spacing w:val="-8"/>
                <w:sz w:val="21"/>
                <w:szCs w:val="21"/>
              </w:rPr>
            </w:pPr>
            <w:r>
              <w:rPr>
                <w:rFonts w:hint="eastAsia" w:ascii="宋体" w:hAnsi="宋体"/>
                <w:b/>
                <w:color w:val="000000" w:themeColor="text1"/>
                <w:sz w:val="21"/>
                <w:szCs w:val="21"/>
              </w:rPr>
              <w:t>（</w:t>
            </w:r>
            <w:r>
              <w:rPr>
                <w:rFonts w:hint="eastAsia" w:ascii="宋体" w:hAnsi="宋体"/>
                <w:b/>
                <w:color w:val="000000" w:themeColor="text1"/>
                <w:spacing w:val="-8"/>
                <w:sz w:val="21"/>
                <w:szCs w:val="21"/>
              </w:rPr>
              <w:t>职业健康安全危险源</w:t>
            </w:r>
            <w:r>
              <w:rPr>
                <w:rFonts w:hint="eastAsia" w:ascii="宋体" w:hAnsi="宋体"/>
                <w:b/>
                <w:color w:val="000000" w:themeColor="text1"/>
                <w:sz w:val="21"/>
                <w:szCs w:val="21"/>
              </w:rPr>
              <w:t>辨识是否充分、风险评价合理性，</w:t>
            </w:r>
            <w:r>
              <w:rPr>
                <w:rFonts w:hint="eastAsia" w:ascii="宋体" w:hAnsi="宋体"/>
                <w:b/>
                <w:color w:val="000000" w:themeColor="text1"/>
                <w:spacing w:val="-8"/>
                <w:sz w:val="21"/>
                <w:szCs w:val="21"/>
              </w:rPr>
              <w:t>以及风险评价动态变更的及时性等）</w:t>
            </w:r>
          </w:p>
          <w:p>
            <w:pPr>
              <w:spacing w:line="300" w:lineRule="exact"/>
              <w:ind w:firstLine="420" w:firstLineChars="200"/>
              <w:rPr>
                <w:rFonts w:ascii="宋体" w:hAnsi="宋体" w:eastAsia="宋体" w:cs="Times New Roman"/>
                <w:b/>
                <w:color w:val="000000" w:themeColor="text1"/>
                <w:spacing w:val="-8"/>
                <w:kern w:val="2"/>
                <w:sz w:val="21"/>
                <w:szCs w:val="21"/>
                <w:lang w:val="en-US" w:eastAsia="zh-CN" w:bidi="ar-SA"/>
              </w:rPr>
            </w:pPr>
            <w:r>
              <w:rPr>
                <w:rFonts w:hint="eastAsia" w:ascii="宋体" w:hAnsi="宋体"/>
                <w:color w:val="000000" w:themeColor="text1"/>
                <w:sz w:val="21"/>
                <w:szCs w:val="21"/>
              </w:rPr>
              <w:t>组织建立了危险源识别、评价控制程序，识别评价了危险源、风险相关的过程，评价出了重要危险源，与之相关的过程有安装，针对重要危险源制定了管理方案。控制措施实施有效。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0" w:hRule="atLeast"/>
          <w:jc w:val="center"/>
        </w:trPr>
        <w:tc>
          <w:tcPr>
            <w:tcW w:w="720" w:type="dxa"/>
            <w:vMerge w:val="continue"/>
            <w:vAlign w:val="center"/>
          </w:tcPr>
          <w:p>
            <w:pPr>
              <w:spacing w:line="240" w:lineRule="exact"/>
              <w:jc w:val="center"/>
              <w:rPr>
                <w:b/>
                <w:sz w:val="21"/>
                <w:szCs w:val="21"/>
              </w:rPr>
            </w:pPr>
          </w:p>
        </w:tc>
        <w:tc>
          <w:tcPr>
            <w:tcW w:w="9198" w:type="dxa"/>
            <w:vAlign w:val="top"/>
          </w:tcPr>
          <w:p>
            <w:pPr>
              <w:spacing w:line="300" w:lineRule="exact"/>
              <w:rPr>
                <w:rFonts w:ascii="宋体" w:hAnsi="宋体"/>
                <w:b/>
                <w:color w:val="000000" w:themeColor="text1"/>
                <w:sz w:val="21"/>
                <w:szCs w:val="21"/>
              </w:rPr>
            </w:pPr>
            <w:r>
              <w:rPr>
                <w:rFonts w:hint="eastAsia"/>
                <w:b/>
                <w:color w:val="000000" w:themeColor="text1"/>
                <w:sz w:val="21"/>
                <w:szCs w:val="21"/>
              </w:rPr>
              <w:t xml:space="preserve">8. </w:t>
            </w:r>
            <w:r>
              <w:rPr>
                <w:rFonts w:hint="eastAsia" w:ascii="宋体" w:hAnsi="宋体"/>
                <w:b/>
                <w:color w:val="000000" w:themeColor="text1"/>
                <w:spacing w:val="-4"/>
                <w:sz w:val="21"/>
                <w:szCs w:val="21"/>
              </w:rPr>
              <w:t>法律法规及其他要求</w:t>
            </w:r>
          </w:p>
          <w:p>
            <w:pPr>
              <w:pStyle w:val="14"/>
              <w:numPr>
                <w:ilvl w:val="0"/>
                <w:numId w:val="1"/>
              </w:numPr>
              <w:tabs>
                <w:tab w:val="left" w:pos="540"/>
              </w:tabs>
              <w:spacing w:line="300" w:lineRule="exact"/>
              <w:ind w:firstLineChars="0"/>
              <w:rPr>
                <w:rFonts w:ascii="宋体" w:hAnsi="宋体"/>
                <w:b/>
                <w:color w:val="000000" w:themeColor="text1"/>
                <w:sz w:val="21"/>
                <w:szCs w:val="21"/>
                <w:u w:val="single"/>
              </w:rPr>
            </w:pPr>
            <w:r>
              <w:rPr>
                <w:rFonts w:hint="eastAsia" w:ascii="宋体" w:hAnsi="宋体"/>
                <w:b/>
                <w:color w:val="000000" w:themeColor="text1"/>
                <w:sz w:val="21"/>
                <w:szCs w:val="21"/>
              </w:rPr>
              <w:t>获取法律法规项，■法律法规获取充分，□法律法规获取有遗漏，缺少</w:t>
            </w:r>
          </w:p>
          <w:p>
            <w:pPr>
              <w:pStyle w:val="14"/>
              <w:numPr>
                <w:ilvl w:val="0"/>
                <w:numId w:val="1"/>
              </w:numPr>
              <w:tabs>
                <w:tab w:val="left" w:pos="540"/>
              </w:tabs>
              <w:spacing w:line="300" w:lineRule="exact"/>
              <w:ind w:firstLineChars="0"/>
              <w:rPr>
                <w:rFonts w:ascii="宋体" w:hAnsi="宋体"/>
                <w:b/>
                <w:color w:val="000000" w:themeColor="text1"/>
                <w:sz w:val="21"/>
                <w:szCs w:val="21"/>
              </w:rPr>
            </w:pPr>
            <w:r>
              <w:rPr>
                <w:rFonts w:hint="eastAsia" w:ascii="宋体" w:hAnsi="宋体"/>
                <w:b/>
                <w:color w:val="000000" w:themeColor="text1"/>
                <w:sz w:val="21"/>
                <w:szCs w:val="21"/>
              </w:rPr>
              <w:t>结合公司的■产品/服务■环境因素■危险源，■确定 □未确定法律法规要求的具体条款，</w:t>
            </w:r>
          </w:p>
          <w:p>
            <w:pPr>
              <w:pStyle w:val="14"/>
              <w:numPr>
                <w:ilvl w:val="0"/>
                <w:numId w:val="1"/>
              </w:numPr>
              <w:tabs>
                <w:tab w:val="left" w:pos="540"/>
              </w:tabs>
              <w:spacing w:line="300" w:lineRule="exact"/>
              <w:ind w:firstLineChars="0"/>
              <w:rPr>
                <w:rFonts w:ascii="宋体" w:hAnsi="宋体"/>
                <w:b/>
                <w:color w:val="000000" w:themeColor="text1"/>
                <w:sz w:val="21"/>
                <w:szCs w:val="21"/>
              </w:rPr>
            </w:pPr>
            <w:r>
              <w:rPr>
                <w:rFonts w:hint="eastAsia" w:ascii="宋体" w:hAnsi="宋体"/>
                <w:b/>
                <w:color w:val="000000" w:themeColor="text1"/>
                <w:sz w:val="21"/>
                <w:szCs w:val="21"/>
              </w:rPr>
              <w:t>法律法规的宣传方式：培训、会议、张贴。</w:t>
            </w:r>
          </w:p>
          <w:p>
            <w:pPr>
              <w:pStyle w:val="14"/>
              <w:numPr>
                <w:ilvl w:val="0"/>
                <w:numId w:val="1"/>
              </w:numPr>
              <w:tabs>
                <w:tab w:val="left" w:pos="540"/>
              </w:tabs>
              <w:spacing w:line="300" w:lineRule="exact"/>
              <w:ind w:firstLineChars="0"/>
              <w:rPr>
                <w:rFonts w:ascii="宋体" w:hAnsi="宋体"/>
                <w:b/>
                <w:color w:val="000000" w:themeColor="text1"/>
                <w:sz w:val="21"/>
                <w:szCs w:val="21"/>
              </w:rPr>
            </w:pPr>
            <w:r>
              <w:rPr>
                <w:rFonts w:hint="eastAsia" w:ascii="宋体" w:hAnsi="宋体"/>
                <w:b/>
                <w:color w:val="000000" w:themeColor="text1"/>
                <w:sz w:val="21"/>
                <w:szCs w:val="21"/>
              </w:rPr>
              <w:t>法律法规要求及时更新了</w:t>
            </w:r>
          </w:p>
          <w:p>
            <w:pPr>
              <w:tabs>
                <w:tab w:val="left" w:pos="0"/>
              </w:tabs>
              <w:spacing w:line="240" w:lineRule="exact"/>
              <w:rPr>
                <w:rFonts w:ascii="Times New Roman" w:hAnsi="Times New Roman" w:eastAsia="宋体" w:cs="Times New Roman"/>
                <w:b/>
                <w:color w:val="000000" w:themeColor="text1"/>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sz w:val="21"/>
                <w:szCs w:val="21"/>
              </w:rPr>
            </w:pPr>
          </w:p>
        </w:tc>
        <w:tc>
          <w:tcPr>
            <w:tcW w:w="9198" w:type="dxa"/>
            <w:vAlign w:val="top"/>
          </w:tcPr>
          <w:p>
            <w:pPr>
              <w:spacing w:line="300" w:lineRule="exact"/>
              <w:rPr>
                <w:rFonts w:ascii="宋体" w:hAnsi="宋体"/>
                <w:b/>
                <w:color w:val="000000" w:themeColor="text1"/>
                <w:sz w:val="21"/>
                <w:szCs w:val="21"/>
              </w:rPr>
            </w:pPr>
            <w:r>
              <w:rPr>
                <w:rFonts w:hint="eastAsia"/>
                <w:b/>
                <w:color w:val="000000" w:themeColor="text1"/>
                <w:sz w:val="21"/>
                <w:szCs w:val="21"/>
              </w:rPr>
              <w:t xml:space="preserve">9. </w:t>
            </w:r>
            <w:r>
              <w:rPr>
                <w:rFonts w:hint="eastAsia" w:ascii="宋体" w:hAnsi="宋体"/>
                <w:b/>
                <w:color w:val="000000" w:themeColor="text1"/>
                <w:sz w:val="21"/>
                <w:szCs w:val="21"/>
              </w:rPr>
              <w:t>目标、方案</w:t>
            </w:r>
          </w:p>
          <w:p>
            <w:pPr>
              <w:spacing w:line="300" w:lineRule="exact"/>
              <w:rPr>
                <w:rFonts w:ascii="宋体" w:hAnsi="宋体"/>
                <w:b/>
                <w:color w:val="000000" w:themeColor="text1"/>
                <w:sz w:val="21"/>
                <w:szCs w:val="21"/>
              </w:rPr>
            </w:pPr>
            <w:r>
              <w:rPr>
                <w:rFonts w:hint="eastAsia"/>
                <w:b/>
                <w:color w:val="000000" w:themeColor="text1"/>
                <w:sz w:val="21"/>
                <w:szCs w:val="21"/>
              </w:rPr>
              <w:t>（</w:t>
            </w:r>
            <w:r>
              <w:rPr>
                <w:rFonts w:hint="eastAsia" w:ascii="宋体" w:hAnsi="宋体"/>
                <w:b/>
                <w:color w:val="000000" w:themeColor="text1"/>
                <w:spacing w:val="-4"/>
                <w:sz w:val="21"/>
                <w:szCs w:val="21"/>
              </w:rPr>
              <w:t>在相关层次上建立</w:t>
            </w:r>
            <w:r>
              <w:rPr>
                <w:rFonts w:hint="eastAsia" w:ascii="宋体" w:hAnsi="宋体"/>
                <w:b/>
                <w:color w:val="000000" w:themeColor="text1"/>
                <w:sz w:val="21"/>
                <w:szCs w:val="21"/>
              </w:rPr>
              <w:t>可测量的目标，目标、方案的有效性，对质量目标的实现情况进行评价并叙述测量方法）</w:t>
            </w:r>
          </w:p>
          <w:p>
            <w:pPr>
              <w:spacing w:line="300" w:lineRule="exact"/>
              <w:ind w:firstLine="420" w:firstLineChars="200"/>
              <w:rPr>
                <w:rFonts w:ascii="宋体" w:hAnsi="宋体"/>
                <w:b/>
                <w:color w:val="000000" w:themeColor="text1"/>
                <w:sz w:val="21"/>
                <w:szCs w:val="21"/>
              </w:rPr>
            </w:pPr>
            <w:r>
              <w:rPr>
                <w:rFonts w:hint="eastAsia" w:ascii="宋体" w:hAnsi="宋体" w:cs="宋体"/>
                <w:color w:val="000000"/>
                <w:kern w:val="0"/>
                <w:sz w:val="21"/>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ind w:firstLine="525" w:firstLineChars="250"/>
              <w:rPr>
                <w:color w:val="auto"/>
                <w:sz w:val="21"/>
                <w:szCs w:val="21"/>
              </w:rPr>
            </w:pPr>
            <w:r>
              <w:rPr>
                <w:rFonts w:hint="eastAsia"/>
                <w:color w:val="auto"/>
                <w:sz w:val="21"/>
                <w:szCs w:val="21"/>
              </w:rPr>
              <w:t>质量、环境、职业健康安全目标：</w:t>
            </w:r>
          </w:p>
          <w:p>
            <w:pPr>
              <w:numPr>
                <w:ilvl w:val="0"/>
                <w:numId w:val="2"/>
              </w:numPr>
              <w:ind w:firstLine="525" w:firstLineChars="250"/>
              <w:rPr>
                <w:color w:val="auto"/>
                <w:sz w:val="21"/>
                <w:szCs w:val="21"/>
              </w:rPr>
            </w:pPr>
            <w:r>
              <w:rPr>
                <w:rFonts w:hint="eastAsia"/>
                <w:color w:val="auto"/>
                <w:sz w:val="21"/>
                <w:szCs w:val="21"/>
              </w:rPr>
              <w:t>客户满意度≥90分；</w:t>
            </w:r>
          </w:p>
          <w:p>
            <w:pPr>
              <w:numPr>
                <w:ilvl w:val="0"/>
                <w:numId w:val="2"/>
              </w:numPr>
              <w:ind w:firstLine="525" w:firstLineChars="250"/>
              <w:rPr>
                <w:rFonts w:ascii="宋体" w:hAnsi="宋体" w:cs="宋体"/>
                <w:color w:val="auto"/>
                <w:sz w:val="21"/>
                <w:szCs w:val="21"/>
              </w:rPr>
            </w:pPr>
            <w:r>
              <w:rPr>
                <w:rFonts w:hint="eastAsia" w:ascii="宋体" w:hAnsi="宋体" w:cs="宋体"/>
                <w:color w:val="auto"/>
                <w:kern w:val="0"/>
                <w:sz w:val="21"/>
                <w:szCs w:val="21"/>
              </w:rPr>
              <w:t>死亡事故发生率为0</w:t>
            </w:r>
            <w:r>
              <w:rPr>
                <w:rFonts w:hint="eastAsia" w:ascii="宋体" w:hAnsi="宋体" w:cs="宋体"/>
                <w:color w:val="auto"/>
                <w:sz w:val="21"/>
                <w:szCs w:val="21"/>
              </w:rPr>
              <w:t>；</w:t>
            </w:r>
          </w:p>
          <w:p>
            <w:pPr>
              <w:numPr>
                <w:ilvl w:val="0"/>
                <w:numId w:val="2"/>
              </w:numPr>
              <w:ind w:firstLine="525" w:firstLineChars="250"/>
              <w:rPr>
                <w:rFonts w:ascii="宋体" w:hAnsi="宋体" w:cs="宋体"/>
                <w:color w:val="auto"/>
                <w:sz w:val="21"/>
                <w:szCs w:val="21"/>
              </w:rPr>
            </w:pPr>
            <w:r>
              <w:rPr>
                <w:rFonts w:hint="eastAsia" w:ascii="宋体" w:hAnsi="宋体" w:cs="宋体"/>
                <w:color w:val="auto"/>
                <w:kern w:val="0"/>
                <w:sz w:val="21"/>
                <w:szCs w:val="21"/>
              </w:rPr>
              <w:t>对固体废弃物100%处理</w:t>
            </w:r>
            <w:r>
              <w:rPr>
                <w:rFonts w:hint="eastAsia" w:ascii="宋体" w:hAnsi="宋体" w:cs="宋体"/>
                <w:color w:val="auto"/>
                <w:sz w:val="21"/>
                <w:szCs w:val="21"/>
              </w:rPr>
              <w:t>；</w:t>
            </w:r>
          </w:p>
          <w:p>
            <w:pPr>
              <w:numPr>
                <w:ilvl w:val="0"/>
                <w:numId w:val="2"/>
              </w:numPr>
              <w:ind w:firstLine="525" w:firstLineChars="250"/>
              <w:rPr>
                <w:rFonts w:ascii="宋体" w:hAnsi="宋体" w:eastAsia="宋体" w:cs="Times New Roman"/>
                <w:b/>
                <w:color w:val="000000" w:themeColor="text1"/>
                <w:kern w:val="2"/>
                <w:sz w:val="21"/>
                <w:szCs w:val="21"/>
                <w:lang w:val="en-US" w:eastAsia="zh-CN" w:bidi="ar-SA"/>
              </w:rPr>
            </w:pPr>
            <w:r>
              <w:rPr>
                <w:rFonts w:hint="eastAsia" w:ascii="宋体" w:hAnsi="宋体" w:cs="宋体"/>
                <w:color w:val="auto"/>
                <w:kern w:val="0"/>
                <w:sz w:val="21"/>
                <w:szCs w:val="21"/>
              </w:rPr>
              <w:t>火灾事故发生率为0</w:t>
            </w:r>
            <w:r>
              <w:rPr>
                <w:rFonts w:hint="eastAsia" w:ascii="宋体" w:hAnsi="宋体" w:cs="宋体"/>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1"/>
                <w:szCs w:val="21"/>
              </w:rPr>
            </w:pPr>
          </w:p>
        </w:tc>
        <w:tc>
          <w:tcPr>
            <w:tcW w:w="9198" w:type="dxa"/>
            <w:vAlign w:val="top"/>
          </w:tcPr>
          <w:p>
            <w:pPr>
              <w:spacing w:line="240" w:lineRule="exact"/>
              <w:rPr>
                <w:rFonts w:ascii="宋体" w:hAnsi="宋体"/>
                <w:b/>
                <w:color w:val="000000" w:themeColor="text1"/>
                <w:sz w:val="21"/>
                <w:szCs w:val="21"/>
              </w:rPr>
            </w:pPr>
            <w:r>
              <w:rPr>
                <w:rFonts w:hint="eastAsia"/>
                <w:b/>
                <w:color w:val="000000" w:themeColor="text1"/>
                <w:sz w:val="21"/>
                <w:szCs w:val="21"/>
              </w:rPr>
              <w:t>10. 文件与记录控制 (</w:t>
            </w:r>
            <w:r>
              <w:rPr>
                <w:rFonts w:hint="eastAsia" w:ascii="宋体" w:hAnsi="宋体"/>
                <w:b/>
                <w:color w:val="000000" w:themeColor="text1"/>
                <w:sz w:val="21"/>
                <w:szCs w:val="21"/>
              </w:rPr>
              <w:t>文审修订后文件与标准的符合程度评价、</w:t>
            </w:r>
            <w:r>
              <w:rPr>
                <w:rFonts w:hint="eastAsia" w:ascii="宋体" w:hAnsi="宋体"/>
                <w:b/>
                <w:color w:val="000000" w:themeColor="text1"/>
                <w:spacing w:val="-4"/>
                <w:sz w:val="21"/>
                <w:szCs w:val="21"/>
              </w:rPr>
              <w:t>文件</w:t>
            </w:r>
            <w:r>
              <w:rPr>
                <w:rFonts w:hint="eastAsia" w:ascii="宋体" w:hAnsi="宋体"/>
                <w:b/>
                <w:color w:val="000000" w:themeColor="text1"/>
                <w:sz w:val="21"/>
                <w:szCs w:val="21"/>
              </w:rPr>
              <w:t>控制管理等)</w:t>
            </w:r>
          </w:p>
          <w:p>
            <w:pPr>
              <w:tabs>
                <w:tab w:val="left" w:pos="540"/>
              </w:tabs>
              <w:spacing w:line="240" w:lineRule="exact"/>
              <w:rPr>
                <w:rFonts w:ascii="宋体" w:hAnsi="宋体" w:eastAsia="宋体" w:cs="Times New Roman"/>
                <w:b/>
                <w:color w:val="000000" w:themeColor="text1"/>
                <w:kern w:val="2"/>
                <w:sz w:val="21"/>
                <w:szCs w:val="21"/>
                <w:lang w:val="en-US" w:eastAsia="zh-CN" w:bidi="ar-SA"/>
              </w:rPr>
            </w:pPr>
            <w:r>
              <w:rPr>
                <w:rFonts w:hint="eastAsia" w:ascii="宋体" w:hAnsi="宋体" w:cs="宋体"/>
                <w:color w:val="auto"/>
                <w:sz w:val="21"/>
                <w:szCs w:val="21"/>
              </w:rPr>
              <w:t>公司按照申请认证的标准要求，建立并形成了文件化的环境和职业健康安全管理体系，体系文件对管理体系各过程进行了识别确定、明确了各要素间的相互关系及其管控要求。因职业健康安全管理体系换版，认证范围、办公地址、组织机构变更</w:t>
            </w:r>
            <w:r>
              <w:rPr>
                <w:rFonts w:hint="eastAsia" w:ascii="宋体" w:hAnsi="宋体" w:cs="宋体"/>
                <w:color w:val="auto"/>
                <w:sz w:val="21"/>
                <w:szCs w:val="21"/>
                <w:lang w:eastAsia="zh-CN"/>
              </w:rPr>
              <w:t>。</w:t>
            </w:r>
            <w:r>
              <w:rPr>
                <w:rFonts w:hint="eastAsia" w:ascii="宋体" w:hAnsi="宋体" w:cs="宋体"/>
                <w:color w:val="auto"/>
                <w:sz w:val="21"/>
                <w:szCs w:val="21"/>
              </w:rPr>
              <w:t>公司行政部组织人员对质量、环境、职业健康安全管理手册和程序文件进行换版工作，</w:t>
            </w:r>
            <w:r>
              <w:rPr>
                <w:rFonts w:hint="eastAsia" w:ascii="宋体" w:hAnsi="宋体" w:cs="宋体"/>
                <w:color w:val="auto"/>
                <w:sz w:val="21"/>
                <w:szCs w:val="21"/>
                <w:lang w:val="en-US" w:eastAsia="zh-CN"/>
              </w:rPr>
              <w:t>由A/0版换为B/0版，</w:t>
            </w:r>
            <w:r>
              <w:rPr>
                <w:rFonts w:hint="eastAsia" w:ascii="宋体" w:hAnsi="宋体" w:cs="宋体"/>
                <w:color w:val="auto"/>
                <w:sz w:val="21"/>
                <w:szCs w:val="21"/>
              </w:rPr>
              <w:t>经总经理批准，</w:t>
            </w:r>
            <w:r>
              <w:rPr>
                <w:rFonts w:hint="eastAsia" w:ascii="宋体" w:hAnsi="宋体" w:cs="宋体"/>
                <w:color w:val="auto"/>
                <w:sz w:val="21"/>
                <w:szCs w:val="21"/>
                <w:lang w:val="en-US" w:eastAsia="zh-CN"/>
              </w:rPr>
              <w:t>新的</w:t>
            </w:r>
            <w:r>
              <w:rPr>
                <w:rFonts w:hint="eastAsia" w:ascii="宋体" w:hAnsi="宋体" w:cs="宋体"/>
                <w:color w:val="auto"/>
                <w:sz w:val="21"/>
                <w:szCs w:val="21"/>
              </w:rPr>
              <w:t>管理手册和程序文件于2020年</w:t>
            </w:r>
            <w:r>
              <w:rPr>
                <w:rFonts w:hint="eastAsia" w:ascii="宋体" w:hAnsi="宋体" w:cs="宋体"/>
                <w:color w:val="auto"/>
                <w:sz w:val="21"/>
                <w:szCs w:val="21"/>
                <w:lang w:val="en-US" w:eastAsia="zh-CN"/>
              </w:rPr>
              <w:t>3</w:t>
            </w:r>
            <w:r>
              <w:rPr>
                <w:rFonts w:hint="eastAsia" w:ascii="宋体" w:hAnsi="宋体" w:cs="宋体"/>
                <w:color w:val="auto"/>
                <w:sz w:val="21"/>
                <w:szCs w:val="21"/>
              </w:rPr>
              <w:t>月</w:t>
            </w:r>
            <w:r>
              <w:rPr>
                <w:rFonts w:hint="eastAsia" w:ascii="宋体" w:hAnsi="宋体" w:cs="宋体"/>
                <w:color w:val="auto"/>
                <w:sz w:val="21"/>
                <w:szCs w:val="21"/>
                <w:lang w:val="en-US" w:eastAsia="zh-CN"/>
              </w:rPr>
              <w:t>10</w:t>
            </w:r>
            <w:r>
              <w:rPr>
                <w:rFonts w:hint="eastAsia" w:ascii="宋体" w:hAnsi="宋体" w:cs="宋体"/>
                <w:color w:val="auto"/>
                <w:sz w:val="21"/>
                <w:szCs w:val="2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jc w:val="center"/>
        </w:trPr>
        <w:tc>
          <w:tcPr>
            <w:tcW w:w="720" w:type="dxa"/>
            <w:vMerge w:val="restart"/>
            <w:textDirection w:val="tbRlV"/>
            <w:vAlign w:val="center"/>
          </w:tcPr>
          <w:p>
            <w:pPr>
              <w:spacing w:line="240" w:lineRule="exact"/>
              <w:ind w:left="113" w:right="113"/>
              <w:jc w:val="center"/>
              <w:rPr>
                <w:b/>
                <w:sz w:val="21"/>
                <w:szCs w:val="21"/>
              </w:rPr>
            </w:pPr>
            <w:r>
              <w:rPr>
                <w:b/>
                <w:sz w:val="21"/>
                <w:szCs w:val="21"/>
              </w:rPr>
              <w:br w:type="page"/>
            </w:r>
            <w:r>
              <w:rPr>
                <w:rFonts w:ascii="宋体" w:hAnsi="宋体"/>
                <w:b/>
                <w:sz w:val="21"/>
                <w:szCs w:val="21"/>
              </w:rPr>
              <w:t>(</w:t>
            </w:r>
            <w:r>
              <w:rPr>
                <w:rFonts w:hint="eastAsia" w:ascii="宋体" w:hAnsi="宋体"/>
                <w:b/>
                <w:sz w:val="21"/>
                <w:szCs w:val="21"/>
              </w:rPr>
              <w:t>二</w:t>
            </w:r>
            <w:r>
              <w:rPr>
                <w:rFonts w:ascii="宋体" w:hAnsi="宋体"/>
                <w:b/>
                <w:sz w:val="21"/>
                <w:szCs w:val="21"/>
              </w:rPr>
              <w:t>)</w:t>
            </w:r>
            <w:r>
              <w:rPr>
                <w:rFonts w:hint="eastAsia" w:ascii="宋体" w:hAnsi="宋体"/>
                <w:b/>
                <w:sz w:val="21"/>
                <w:szCs w:val="21"/>
              </w:rPr>
              <w:t>资源评价</w:t>
            </w:r>
          </w:p>
        </w:tc>
        <w:tc>
          <w:tcPr>
            <w:tcW w:w="9198" w:type="dxa"/>
            <w:vAlign w:val="top"/>
          </w:tcPr>
          <w:p>
            <w:pPr>
              <w:spacing w:line="300" w:lineRule="exact"/>
              <w:rPr>
                <w:b/>
                <w:color w:val="000000" w:themeColor="text1"/>
                <w:sz w:val="21"/>
                <w:szCs w:val="21"/>
              </w:rPr>
            </w:pPr>
            <w:r>
              <w:rPr>
                <w:rFonts w:hint="eastAsia" w:ascii="宋体" w:hAnsi="宋体"/>
                <w:b/>
                <w:color w:val="000000" w:themeColor="text1"/>
                <w:sz w:val="21"/>
                <w:szCs w:val="21"/>
              </w:rPr>
              <w:t>人力资源的简要说明</w:t>
            </w:r>
            <w:r>
              <w:rPr>
                <w:rFonts w:hint="eastAsia"/>
                <w:b/>
                <w:color w:val="000000" w:themeColor="text1"/>
                <w:sz w:val="21"/>
                <w:szCs w:val="21"/>
              </w:rPr>
              <w:t>.</w:t>
            </w:r>
            <w:r>
              <w:rPr>
                <w:rFonts w:hint="eastAsia" w:ascii="宋体" w:hAnsi="宋体"/>
                <w:b/>
                <w:color w:val="000000" w:themeColor="text1"/>
                <w:sz w:val="21"/>
                <w:szCs w:val="21"/>
              </w:rPr>
              <w:t>:</w:t>
            </w:r>
          </w:p>
          <w:p>
            <w:pPr>
              <w:tabs>
                <w:tab w:val="left" w:pos="2552"/>
              </w:tabs>
              <w:spacing w:line="0" w:lineRule="atLeast"/>
              <w:ind w:firstLine="420" w:firstLineChars="200"/>
              <w:rPr>
                <w:rFonts w:ascii="宋体" w:hAnsi="宋体"/>
                <w:bCs/>
                <w:iCs/>
                <w:sz w:val="21"/>
                <w:szCs w:val="21"/>
              </w:rPr>
            </w:pPr>
            <w:r>
              <w:rPr>
                <w:rFonts w:hint="eastAsia" w:ascii="宋体" w:hAnsi="宋体"/>
                <w:bCs/>
                <w:iCs/>
                <w:sz w:val="21"/>
                <w:szCs w:val="21"/>
              </w:rPr>
              <w:t>组织按管理体系需求配置了充足的人员、设施、监视和测量设备等资源，并建立维持了</w:t>
            </w:r>
            <w:r>
              <w:rPr>
                <w:rFonts w:hint="eastAsia" w:ascii="宋体" w:hAnsi="宋体"/>
                <w:sz w:val="21"/>
                <w:szCs w:val="21"/>
              </w:rPr>
              <w:t>人力资源管理</w:t>
            </w:r>
            <w:r>
              <w:rPr>
                <w:rFonts w:hint="eastAsia" w:ascii="宋体" w:hAnsi="宋体"/>
                <w:bCs/>
                <w:iCs/>
                <w:sz w:val="21"/>
                <w:szCs w:val="21"/>
              </w:rPr>
              <w:t>及相关服务运行环境，可以维持管理体系的正常运行。</w:t>
            </w:r>
          </w:p>
          <w:p>
            <w:pPr>
              <w:spacing w:line="300" w:lineRule="exact"/>
              <w:rPr>
                <w:rFonts w:ascii="宋体" w:hAnsi="宋体" w:eastAsia="宋体" w:cs="Times New Roman"/>
                <w:b/>
                <w:color w:val="000000" w:themeColor="text1"/>
                <w:kern w:val="2"/>
                <w:sz w:val="21"/>
                <w:szCs w:val="21"/>
                <w:lang w:val="en-US" w:eastAsia="zh-CN" w:bidi="ar-SA"/>
              </w:rPr>
            </w:pPr>
            <w:r>
              <w:rPr>
                <w:rFonts w:hint="eastAsia" w:ascii="宋体" w:hAnsi="宋体"/>
                <w:bCs/>
                <w:iCs/>
                <w:sz w:val="21"/>
                <w:szCs w:val="21"/>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0" w:hRule="atLeast"/>
          <w:jc w:val="center"/>
        </w:trPr>
        <w:tc>
          <w:tcPr>
            <w:tcW w:w="720" w:type="dxa"/>
            <w:vMerge w:val="continue"/>
            <w:textDirection w:val="tbRlV"/>
            <w:vAlign w:val="center"/>
          </w:tcPr>
          <w:p>
            <w:pPr>
              <w:spacing w:line="240" w:lineRule="exact"/>
              <w:ind w:left="113" w:right="113"/>
              <w:jc w:val="center"/>
              <w:rPr>
                <w:b/>
                <w:sz w:val="21"/>
                <w:szCs w:val="21"/>
              </w:rPr>
            </w:pPr>
          </w:p>
        </w:tc>
        <w:tc>
          <w:tcPr>
            <w:tcW w:w="9198" w:type="dxa"/>
            <w:vAlign w:val="top"/>
          </w:tcPr>
          <w:p>
            <w:pPr>
              <w:spacing w:line="240" w:lineRule="exact"/>
              <w:rPr>
                <w:rFonts w:ascii="宋体" w:hAnsi="宋体"/>
                <w:b/>
                <w:color w:val="000000" w:themeColor="text1"/>
                <w:sz w:val="21"/>
                <w:szCs w:val="21"/>
              </w:rPr>
            </w:pPr>
            <w:r>
              <w:rPr>
                <w:rFonts w:hint="eastAsia" w:ascii="宋体" w:hAnsi="宋体"/>
                <w:b/>
                <w:color w:val="000000" w:themeColor="text1"/>
                <w:sz w:val="21"/>
                <w:szCs w:val="21"/>
              </w:rPr>
              <w:t>设备设施（包括信息系统）、</w:t>
            </w:r>
          </w:p>
          <w:p>
            <w:pPr>
              <w:spacing w:line="240" w:lineRule="exact"/>
              <w:rPr>
                <w:rFonts w:ascii="宋体" w:hAnsi="宋体" w:eastAsia="宋体" w:cs="Times New Roman"/>
                <w:b/>
                <w:color w:val="000000" w:themeColor="text1"/>
                <w:kern w:val="2"/>
                <w:sz w:val="21"/>
                <w:szCs w:val="21"/>
                <w:lang w:val="en-US" w:eastAsia="zh-CN" w:bidi="ar-SA"/>
              </w:rPr>
            </w:pPr>
            <w:r>
              <w:rPr>
                <w:rFonts w:hint="eastAsia" w:ascii="宋体" w:hAnsi="宋体"/>
                <w:sz w:val="21"/>
                <w:szCs w:val="21"/>
                <w:highlight w:val="none"/>
              </w:rPr>
              <w:t>办公</w:t>
            </w:r>
            <w:r>
              <w:rPr>
                <w:rFonts w:hint="eastAsia" w:ascii="宋体" w:hAnsi="宋体"/>
                <w:color w:val="000000" w:themeColor="text1"/>
                <w:sz w:val="21"/>
                <w:szCs w:val="21"/>
                <w:highlight w:val="none"/>
                <w14:textFill>
                  <w14:solidFill>
                    <w14:schemeClr w14:val="tx1"/>
                  </w14:solidFill>
                </w14:textFill>
              </w:rPr>
              <w:t>场所面积</w:t>
            </w:r>
            <w:r>
              <w:rPr>
                <w:rFonts w:hint="eastAsia" w:ascii="宋体" w:hAnsi="宋体"/>
                <w:color w:val="000000" w:themeColor="text1"/>
                <w:sz w:val="21"/>
                <w:szCs w:val="21"/>
                <w:highlight w:val="none"/>
                <w:lang w:val="en-US" w:eastAsia="zh-CN"/>
                <w14:textFill>
                  <w14:solidFill>
                    <w14:schemeClr w14:val="tx1"/>
                  </w14:solidFill>
                </w14:textFill>
              </w:rPr>
              <w:t>1500</w:t>
            </w:r>
            <w:r>
              <w:rPr>
                <w:rFonts w:hint="eastAsia" w:ascii="宋体" w:hAnsi="宋体"/>
                <w:color w:val="000000" w:themeColor="text1"/>
                <w:sz w:val="21"/>
                <w:szCs w:val="21"/>
                <w:highlight w:val="none"/>
                <w14:textFill>
                  <w14:solidFill>
                    <w14:schemeClr w14:val="tx1"/>
                  </w14:solidFill>
                </w14:textFill>
              </w:rPr>
              <w:t>平方左右，</w:t>
            </w:r>
            <w:r>
              <w:rPr>
                <w:rFonts w:hint="eastAsia" w:ascii="宋体" w:hAnsi="宋体" w:cs="宋体"/>
                <w:color w:val="000000" w:themeColor="text1"/>
                <w:sz w:val="21"/>
                <w:szCs w:val="21"/>
                <w:highlight w:val="none"/>
                <w14:textFill>
                  <w14:solidFill>
                    <w14:schemeClr w14:val="tx1"/>
                  </w14:solidFill>
                </w14:textFill>
              </w:rPr>
              <w:t>主要为</w:t>
            </w:r>
            <w:r>
              <w:rPr>
                <w:rFonts w:hint="eastAsia" w:ascii="宋体" w:hAnsi="宋体" w:cs="宋体"/>
                <w:color w:val="000000" w:themeColor="text1"/>
                <w:sz w:val="21"/>
                <w:szCs w:val="21"/>
                <w:highlight w:val="none"/>
                <w:lang w:eastAsia="zh-CN"/>
                <w14:textFill>
                  <w14:solidFill>
                    <w14:schemeClr w14:val="tx1"/>
                  </w14:solidFill>
                </w14:textFill>
              </w:rPr>
              <w:t>软件</w:t>
            </w:r>
            <w:r>
              <w:rPr>
                <w:rFonts w:hint="eastAsia" w:ascii="宋体" w:hAnsi="宋体" w:cs="宋体"/>
                <w:color w:val="000000" w:themeColor="text1"/>
                <w:sz w:val="21"/>
                <w:szCs w:val="21"/>
                <w:highlight w:val="none"/>
                <w14:textFill>
                  <w14:solidFill>
                    <w14:schemeClr w14:val="tx1"/>
                  </w14:solidFill>
                </w14:textFill>
              </w:rPr>
              <w:t>研发、市场和</w:t>
            </w:r>
            <w:r>
              <w:rPr>
                <w:rFonts w:hint="eastAsia" w:ascii="宋体" w:hAnsi="宋体" w:cs="宋体"/>
                <w:color w:val="000000" w:themeColor="text1"/>
                <w:sz w:val="21"/>
                <w:szCs w:val="21"/>
                <w:highlight w:val="none"/>
                <w:lang w:val="en-US" w:eastAsia="zh-CN"/>
                <w14:textFill>
                  <w14:solidFill>
                    <w14:schemeClr w14:val="tx1"/>
                  </w14:solidFill>
                </w14:textFill>
              </w:rPr>
              <w:t>行政部</w:t>
            </w:r>
            <w:r>
              <w:rPr>
                <w:rFonts w:hint="eastAsia" w:ascii="宋体" w:hAnsi="宋体" w:cs="宋体"/>
                <w:color w:val="000000" w:themeColor="text1"/>
                <w:sz w:val="21"/>
                <w:szCs w:val="21"/>
                <w:highlight w:val="none"/>
                <w14:textFill>
                  <w14:solidFill>
                    <w14:schemeClr w14:val="tx1"/>
                  </w14:solidFill>
                </w14:textFill>
              </w:rPr>
              <w:t>门使用</w:t>
            </w:r>
            <w:r>
              <w:rPr>
                <w:rFonts w:hint="eastAsia" w:ascii="宋体" w:hAnsi="宋体"/>
                <w:color w:val="000000" w:themeColor="text1"/>
                <w:sz w:val="21"/>
                <w:szCs w:val="21"/>
                <w:highlight w:val="none"/>
                <w14:textFill>
                  <w14:solidFill>
                    <w14:schemeClr w14:val="tx1"/>
                  </w14:solidFill>
                </w14:textFill>
              </w:rPr>
              <w:t>。</w:t>
            </w:r>
            <w:r>
              <w:rPr>
                <w:rFonts w:hint="eastAsia" w:ascii="宋体" w:hAnsi="宋体" w:cs="宋体"/>
                <w:color w:val="000000" w:themeColor="text1"/>
                <w:sz w:val="21"/>
                <w:szCs w:val="21"/>
                <w:highlight w:val="none"/>
                <w14:textFill>
                  <w14:solidFill>
                    <w14:schemeClr w14:val="tx1"/>
                  </w14:solidFill>
                </w14:textFill>
              </w:rPr>
              <w:t>主</w:t>
            </w:r>
            <w:r>
              <w:rPr>
                <w:rFonts w:hint="eastAsia" w:ascii="宋体" w:hAnsi="宋体" w:cs="宋体"/>
                <w:sz w:val="21"/>
                <w:szCs w:val="21"/>
                <w:highlight w:val="none"/>
              </w:rPr>
              <w:t>要生产设备包括电脑</w:t>
            </w:r>
            <w:r>
              <w:rPr>
                <w:rFonts w:hint="eastAsia" w:ascii="宋体" w:hAnsi="宋体" w:cs="宋体"/>
                <w:sz w:val="21"/>
                <w:szCs w:val="21"/>
                <w:highlight w:val="none"/>
                <w:lang w:val="en-US" w:eastAsia="zh-CN"/>
              </w:rPr>
              <w:t>和</w:t>
            </w:r>
            <w:r>
              <w:rPr>
                <w:rFonts w:hint="eastAsia" w:ascii="宋体" w:hAnsi="宋体" w:cs="宋体"/>
                <w:sz w:val="21"/>
                <w:szCs w:val="21"/>
                <w:highlight w:val="none"/>
              </w:rPr>
              <w:t>云服务器、打印机、传真机</w:t>
            </w:r>
            <w:r>
              <w:rPr>
                <w:rFonts w:hint="eastAsia" w:ascii="宋体" w:hAnsi="宋体"/>
                <w:sz w:val="21"/>
                <w:szCs w:val="21"/>
                <w:highlight w:val="none"/>
              </w:rPr>
              <w:t>等设备，可以满足</w:t>
            </w:r>
            <w:r>
              <w:rPr>
                <w:sz w:val="20"/>
              </w:rPr>
              <w:t>计算机网络科技领域内的技术开发，会议及展览服务，劳务派遣</w:t>
            </w:r>
            <w:r>
              <w:rPr>
                <w:rFonts w:hint="eastAsia" w:ascii="宋体" w:hAnsi="宋体"/>
                <w:sz w:val="21"/>
                <w:szCs w:val="21"/>
                <w:highlight w:val="none"/>
              </w:rPr>
              <w:t>的需要</w:t>
            </w:r>
            <w:r>
              <w:rPr>
                <w:rFonts w:hint="eastAsia" w:ascii="宋体" w:hAnsi="宋体" w:cs="宋体"/>
                <w:sz w:val="21"/>
                <w:szCs w:val="21"/>
                <w:highlight w:val="none"/>
              </w:rPr>
              <w:t>。对设备按月方式进行点检维护保养，并实施。特种设备：无。公司未建立信息管理系统用于生产和服务。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 w:val="21"/>
                <w:szCs w:val="21"/>
              </w:rPr>
            </w:pPr>
          </w:p>
        </w:tc>
        <w:tc>
          <w:tcPr>
            <w:tcW w:w="9198" w:type="dxa"/>
            <w:vAlign w:val="top"/>
          </w:tcPr>
          <w:p>
            <w:pPr>
              <w:spacing w:line="240" w:lineRule="exact"/>
              <w:rPr>
                <w:rFonts w:ascii="宋体" w:hAnsi="宋体"/>
                <w:b/>
                <w:color w:val="000000" w:themeColor="text1"/>
                <w:sz w:val="21"/>
                <w:szCs w:val="21"/>
              </w:rPr>
            </w:pPr>
            <w:r>
              <w:rPr>
                <w:rFonts w:hint="eastAsia" w:ascii="宋体" w:hAnsi="宋体"/>
                <w:b/>
                <w:color w:val="000000" w:themeColor="text1"/>
                <w:sz w:val="21"/>
                <w:szCs w:val="21"/>
              </w:rPr>
              <w:t>过程运行环境</w:t>
            </w:r>
          </w:p>
          <w:p>
            <w:pPr>
              <w:spacing w:line="240" w:lineRule="exact"/>
              <w:rPr>
                <w:rFonts w:ascii="宋体" w:hAnsi="宋体" w:eastAsia="宋体" w:cs="Times New Roman"/>
                <w:b/>
                <w:color w:val="000000" w:themeColor="text1"/>
                <w:kern w:val="2"/>
                <w:sz w:val="21"/>
                <w:szCs w:val="21"/>
                <w:lang w:val="en-US" w:eastAsia="zh-CN" w:bidi="ar-SA"/>
              </w:rPr>
            </w:pPr>
            <w:r>
              <w:rPr>
                <w:rFonts w:hint="eastAsia" w:ascii="宋体" w:hAnsi="宋体" w:cs="宋体"/>
                <w:sz w:val="21"/>
                <w:szCs w:val="21"/>
              </w:rPr>
              <w:t>办公、</w:t>
            </w:r>
            <w:r>
              <w:rPr>
                <w:rFonts w:hint="eastAsia" w:ascii="宋体" w:hAnsi="宋体" w:cs="宋体"/>
                <w:sz w:val="21"/>
                <w:szCs w:val="21"/>
                <w:lang w:val="en-US" w:eastAsia="zh-CN"/>
              </w:rPr>
              <w:t>服务</w:t>
            </w:r>
            <w:r>
              <w:rPr>
                <w:rFonts w:hint="eastAsia" w:ascii="宋体" w:hAnsi="宋体" w:cs="宋体"/>
                <w:sz w:val="21"/>
                <w:szCs w:val="21"/>
              </w:rPr>
              <w:t>场所和内设备布置合理，通道畅通，照明设施齐全，均配备了消防设施等设施。办公室明亮，培训场所光线较充足。每月由行政部对工作环境进行定期检查。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720" w:type="dxa"/>
            <w:vMerge w:val="continue"/>
            <w:textDirection w:val="tbRlV"/>
            <w:vAlign w:val="center"/>
          </w:tcPr>
          <w:p>
            <w:pPr>
              <w:spacing w:line="240" w:lineRule="exact"/>
              <w:ind w:left="113" w:right="113"/>
              <w:jc w:val="center"/>
              <w:rPr>
                <w:b/>
                <w:sz w:val="21"/>
                <w:szCs w:val="21"/>
              </w:rPr>
            </w:pPr>
          </w:p>
        </w:tc>
        <w:tc>
          <w:tcPr>
            <w:tcW w:w="9198" w:type="dxa"/>
            <w:vAlign w:val="top"/>
          </w:tcPr>
          <w:p>
            <w:pPr>
              <w:spacing w:line="240" w:lineRule="exact"/>
              <w:rPr>
                <w:rFonts w:ascii="宋体" w:hAnsi="宋体"/>
                <w:b/>
                <w:color w:val="000000" w:themeColor="text1"/>
                <w:sz w:val="21"/>
                <w:szCs w:val="21"/>
              </w:rPr>
            </w:pPr>
            <w:r>
              <w:rPr>
                <w:rFonts w:hint="eastAsia" w:ascii="宋体" w:hAnsi="宋体"/>
                <w:b/>
                <w:color w:val="000000" w:themeColor="text1"/>
                <w:sz w:val="21"/>
                <w:szCs w:val="21"/>
              </w:rPr>
              <w:t>监视和测量资源</w:t>
            </w:r>
          </w:p>
          <w:p>
            <w:pPr>
              <w:spacing w:line="240" w:lineRule="exact"/>
              <w:rPr>
                <w:rFonts w:hint="eastAsia" w:ascii="宋体" w:hAnsi="宋体"/>
                <w:sz w:val="21"/>
                <w:szCs w:val="21"/>
                <w:highlight w:val="none"/>
                <w:lang w:val="en-US" w:eastAsia="zh-CN"/>
              </w:rPr>
            </w:pPr>
            <w:r>
              <w:rPr>
                <w:rFonts w:hint="eastAsia" w:ascii="宋体" w:hAnsi="宋体"/>
                <w:sz w:val="21"/>
                <w:szCs w:val="21"/>
                <w:highlight w:val="none"/>
                <w:lang w:val="en-US" w:eastAsia="zh-CN"/>
              </w:rPr>
              <w:t>信息技术部均按策划的要求配置了相应的检测软件，主要为测试软件及测试平台，包括：系统：CentOS操作系统，macos操作系统和windows操作系统，编辑器：Editplus，浏览器：谷歌及火狐浏览器，辅助工具：浏览器自带的网页审查工具；测试软件：Jmeter等，均采用自己确认的方式进行控制。</w:t>
            </w:r>
          </w:p>
          <w:p>
            <w:pPr>
              <w:spacing w:line="240" w:lineRule="exact"/>
              <w:rPr>
                <w:rFonts w:hint="eastAsia" w:ascii="宋体" w:hAnsi="宋体"/>
                <w:sz w:val="21"/>
                <w:szCs w:val="21"/>
                <w:highlight w:val="none"/>
                <w:lang w:val="en-US" w:eastAsia="zh-CN"/>
              </w:rPr>
            </w:pPr>
            <w:r>
              <w:rPr>
                <w:rFonts w:hint="eastAsia" w:ascii="宋体" w:hAnsi="宋体"/>
                <w:sz w:val="21"/>
                <w:szCs w:val="21"/>
                <w:highlight w:val="none"/>
                <w:lang w:val="en-US" w:eastAsia="zh-CN"/>
              </w:rPr>
              <w:t>会议展览服务主要针对在会场的布置情况进行监测，主要依据客户的要求进行人为的评判，不需要使用到硬件的监视测量设备。</w:t>
            </w:r>
          </w:p>
          <w:p>
            <w:pPr>
              <w:spacing w:line="240" w:lineRule="exact"/>
              <w:rPr>
                <w:rFonts w:ascii="宋体" w:hAnsi="宋体" w:eastAsia="宋体" w:cs="Times New Roman"/>
                <w:b/>
                <w:color w:val="000000" w:themeColor="text1"/>
                <w:kern w:val="2"/>
                <w:sz w:val="21"/>
                <w:szCs w:val="21"/>
                <w:lang w:val="en-US" w:eastAsia="zh-CN" w:bidi="ar-SA"/>
              </w:rPr>
            </w:pPr>
            <w:r>
              <w:rPr>
                <w:rFonts w:hint="eastAsia" w:ascii="宋体" w:hAnsi="宋体"/>
                <w:sz w:val="21"/>
                <w:szCs w:val="21"/>
                <w:highlight w:val="none"/>
                <w:lang w:val="en-US" w:eastAsia="zh-CN"/>
              </w:rPr>
              <w:t>劳务派遣服务：因组织的经营业务特性，其对服务质量监控采取人为检查和考评的方式进行，暂不涉及检测设备。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 w:val="21"/>
                <w:szCs w:val="21"/>
              </w:rPr>
            </w:pPr>
          </w:p>
        </w:tc>
        <w:tc>
          <w:tcPr>
            <w:tcW w:w="9198" w:type="dxa"/>
            <w:vAlign w:val="top"/>
          </w:tcPr>
          <w:p>
            <w:pPr>
              <w:spacing w:line="240" w:lineRule="exact"/>
              <w:rPr>
                <w:rFonts w:ascii="宋体" w:hAnsi="宋体"/>
                <w:b/>
                <w:color w:val="000000" w:themeColor="text1"/>
                <w:sz w:val="21"/>
                <w:szCs w:val="21"/>
              </w:rPr>
            </w:pPr>
            <w:r>
              <w:rPr>
                <w:rFonts w:hint="eastAsia" w:ascii="宋体" w:hAnsi="宋体"/>
                <w:b/>
                <w:color w:val="000000" w:themeColor="text1"/>
                <w:sz w:val="21"/>
                <w:szCs w:val="21"/>
              </w:rPr>
              <w:t>知识</w:t>
            </w:r>
          </w:p>
          <w:p>
            <w:pPr>
              <w:spacing w:line="400" w:lineRule="exact"/>
              <w:ind w:firstLine="315" w:firstLineChars="150"/>
              <w:rPr>
                <w:rFonts w:hint="eastAsia" w:ascii="宋体" w:hAnsi="宋体" w:eastAsia="宋体" w:cs="宋体"/>
                <w:color w:val="000000"/>
                <w:sz w:val="21"/>
                <w:szCs w:val="21"/>
              </w:rPr>
            </w:pPr>
            <w:r>
              <w:rPr>
                <w:rFonts w:hint="eastAsia" w:ascii="宋体" w:hAnsi="宋体" w:cs="宋体"/>
                <w:color w:val="000000"/>
                <w:sz w:val="21"/>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w:t>
            </w:r>
            <w:r>
              <w:rPr>
                <w:rFonts w:hint="eastAsia" w:ascii="宋体" w:hAnsi="宋体" w:eastAsia="宋体" w:cs="宋体"/>
                <w:color w:val="000000"/>
                <w:sz w:val="21"/>
                <w:szCs w:val="21"/>
              </w:rPr>
              <w:t>收集的知识）。</w:t>
            </w:r>
          </w:p>
          <w:p>
            <w:pPr>
              <w:spacing w:line="400" w:lineRule="exact"/>
              <w:ind w:firstLine="315" w:firstLineChars="150"/>
              <w:rPr>
                <w:rFonts w:ascii="宋体" w:hAnsi="宋体" w:eastAsia="宋体" w:cs="Times New Roman"/>
                <w:b/>
                <w:color w:val="000000" w:themeColor="text1"/>
                <w:kern w:val="2"/>
                <w:sz w:val="21"/>
                <w:szCs w:val="21"/>
                <w:lang w:val="en-US" w:eastAsia="zh-CN" w:bidi="ar-SA"/>
              </w:rPr>
            </w:pPr>
            <w:r>
              <w:rPr>
                <w:rFonts w:hint="eastAsia" w:ascii="宋体" w:hAnsi="宋体" w:eastAsia="宋体" w:cs="宋体"/>
                <w:color w:val="000000"/>
                <w:sz w:val="21"/>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5" w:hRule="atLeast"/>
          <w:jc w:val="center"/>
        </w:trPr>
        <w:tc>
          <w:tcPr>
            <w:tcW w:w="720" w:type="dxa"/>
            <w:vMerge w:val="continue"/>
            <w:textDirection w:val="tbRlV"/>
            <w:vAlign w:val="center"/>
          </w:tcPr>
          <w:p>
            <w:pPr>
              <w:spacing w:line="240" w:lineRule="exact"/>
              <w:ind w:left="113" w:right="113"/>
              <w:jc w:val="center"/>
              <w:rPr>
                <w:b/>
                <w:sz w:val="21"/>
                <w:szCs w:val="21"/>
              </w:rPr>
            </w:pPr>
          </w:p>
        </w:tc>
        <w:tc>
          <w:tcPr>
            <w:tcW w:w="9198" w:type="dxa"/>
            <w:vAlign w:val="top"/>
          </w:tcPr>
          <w:p>
            <w:pPr>
              <w:spacing w:line="240" w:lineRule="exact"/>
              <w:rPr>
                <w:rFonts w:ascii="宋体" w:hAnsi="宋体"/>
                <w:b/>
                <w:sz w:val="21"/>
                <w:szCs w:val="21"/>
              </w:rPr>
            </w:pPr>
            <w:r>
              <w:rPr>
                <w:rFonts w:hint="eastAsia" w:ascii="宋体" w:hAnsi="宋体"/>
                <w:b/>
                <w:sz w:val="21"/>
                <w:szCs w:val="21"/>
              </w:rPr>
              <w:t>环保设施：</w:t>
            </w:r>
          </w:p>
          <w:p>
            <w:pPr>
              <w:spacing w:line="240" w:lineRule="exact"/>
              <w:rPr>
                <w:rFonts w:ascii="宋体" w:hAnsi="宋体" w:eastAsia="宋体" w:cs="Times New Roman"/>
                <w:kern w:val="2"/>
                <w:sz w:val="21"/>
                <w:szCs w:val="21"/>
                <w:lang w:val="en-US" w:eastAsia="zh-CN" w:bidi="ar-SA"/>
              </w:rPr>
            </w:pPr>
            <w:r>
              <w:rPr>
                <w:rFonts w:hint="eastAsia" w:ascii="宋体" w:hAnsi="宋体"/>
                <w:sz w:val="21"/>
                <w:szCs w:val="21"/>
              </w:rPr>
              <w:t>消防栓、灭火器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720" w:type="dxa"/>
            <w:vMerge w:val="continue"/>
            <w:textDirection w:val="tbRlV"/>
            <w:vAlign w:val="center"/>
          </w:tcPr>
          <w:p>
            <w:pPr>
              <w:spacing w:line="240" w:lineRule="exact"/>
              <w:ind w:left="113" w:right="113"/>
              <w:jc w:val="center"/>
              <w:rPr>
                <w:b/>
                <w:sz w:val="21"/>
                <w:szCs w:val="21"/>
              </w:rPr>
            </w:pPr>
          </w:p>
        </w:tc>
        <w:tc>
          <w:tcPr>
            <w:tcW w:w="9198" w:type="dxa"/>
            <w:vAlign w:val="top"/>
          </w:tcPr>
          <w:p>
            <w:pPr>
              <w:spacing w:line="240" w:lineRule="exact"/>
              <w:rPr>
                <w:rFonts w:ascii="宋体" w:hAnsi="宋体"/>
                <w:b/>
                <w:sz w:val="21"/>
                <w:szCs w:val="21"/>
              </w:rPr>
            </w:pPr>
            <w:r>
              <w:rPr>
                <w:rFonts w:hint="eastAsia" w:ascii="宋体" w:hAnsi="宋体"/>
                <w:b/>
                <w:sz w:val="21"/>
                <w:szCs w:val="21"/>
              </w:rPr>
              <w:t>职业健康安全设施：</w:t>
            </w:r>
          </w:p>
          <w:p>
            <w:pPr>
              <w:spacing w:line="240" w:lineRule="exact"/>
              <w:rPr>
                <w:rFonts w:ascii="宋体" w:hAnsi="宋体" w:eastAsia="宋体" w:cs="Times New Roman"/>
                <w:kern w:val="2"/>
                <w:sz w:val="21"/>
                <w:szCs w:val="21"/>
                <w:lang w:val="en-US" w:eastAsia="zh-CN" w:bidi="ar-SA"/>
              </w:rPr>
            </w:pPr>
            <w:r>
              <w:rPr>
                <w:rFonts w:hint="eastAsia" w:ascii="宋体" w:hAnsi="宋体"/>
                <w:sz w:val="21"/>
                <w:szCs w:val="21"/>
              </w:rPr>
              <w:t>消防栓、灭火器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49" w:hRule="atLeast"/>
          <w:jc w:val="center"/>
        </w:trPr>
        <w:tc>
          <w:tcPr>
            <w:tcW w:w="720" w:type="dxa"/>
            <w:vMerge w:val="restart"/>
            <w:textDirection w:val="tbRlV"/>
            <w:vAlign w:val="center"/>
          </w:tcPr>
          <w:p>
            <w:pPr>
              <w:spacing w:line="240" w:lineRule="exact"/>
              <w:ind w:left="113" w:right="113"/>
              <w:jc w:val="center"/>
              <w:rPr>
                <w:b/>
                <w:sz w:val="21"/>
                <w:szCs w:val="21"/>
              </w:rPr>
            </w:pPr>
            <w:r>
              <w:rPr>
                <w:rFonts w:ascii="宋体" w:hAnsi="宋体"/>
                <w:b/>
                <w:sz w:val="21"/>
                <w:szCs w:val="21"/>
              </w:rPr>
              <w:t>(</w:t>
            </w:r>
            <w:r>
              <w:rPr>
                <w:rFonts w:hint="eastAsia" w:ascii="宋体" w:hAnsi="宋体"/>
                <w:b/>
                <w:sz w:val="21"/>
                <w:szCs w:val="21"/>
              </w:rPr>
              <w:t>三</w:t>
            </w:r>
            <w:r>
              <w:rPr>
                <w:rFonts w:ascii="宋体" w:hAnsi="宋体"/>
                <w:b/>
                <w:sz w:val="21"/>
                <w:szCs w:val="21"/>
              </w:rPr>
              <w:t>)</w:t>
            </w:r>
            <w:r>
              <w:rPr>
                <w:rFonts w:hint="eastAsia" w:ascii="宋体" w:hAnsi="宋体"/>
                <w:b/>
                <w:sz w:val="21"/>
                <w:szCs w:val="21"/>
              </w:rPr>
              <w:t>体系运行情况</w:t>
            </w:r>
          </w:p>
        </w:tc>
        <w:tc>
          <w:tcPr>
            <w:tcW w:w="9198" w:type="dxa"/>
            <w:vAlign w:val="top"/>
          </w:tcPr>
          <w:p>
            <w:pPr>
              <w:spacing w:line="300" w:lineRule="exact"/>
              <w:rPr>
                <w:b/>
                <w:color w:val="000000" w:themeColor="text1"/>
                <w:sz w:val="21"/>
                <w:szCs w:val="21"/>
              </w:rPr>
            </w:pPr>
            <w:r>
              <w:rPr>
                <w:rFonts w:hint="eastAsia"/>
                <w:b/>
                <w:color w:val="000000" w:themeColor="text1"/>
                <w:sz w:val="21"/>
                <w:szCs w:val="21"/>
              </w:rPr>
              <w:t>1. 针对方针的管理职责评审</w:t>
            </w:r>
          </w:p>
          <w:p>
            <w:pPr>
              <w:spacing w:line="300" w:lineRule="exact"/>
              <w:ind w:left="1"/>
              <w:rPr>
                <w:b/>
                <w:color w:val="000000" w:themeColor="text1"/>
                <w:sz w:val="21"/>
                <w:szCs w:val="21"/>
              </w:rPr>
            </w:pPr>
            <w:r>
              <w:rPr>
                <w:rFonts w:hint="eastAsia"/>
                <w:b/>
                <w:color w:val="000000" w:themeColor="text1"/>
                <w:sz w:val="21"/>
                <w:szCs w:val="21"/>
              </w:rPr>
              <w:t>（包括针对组织宗旨，制定相关管理方针政策、确保方针为员工理解并在运营中实施，监视方针的实施并评审方针的适宜性）</w:t>
            </w:r>
          </w:p>
          <w:p>
            <w:pPr>
              <w:spacing w:line="300" w:lineRule="exact"/>
              <w:ind w:left="1" w:leftChars="0"/>
              <w:rPr>
                <w:rFonts w:ascii="Times New Roman" w:hAnsi="Times New Roman" w:eastAsia="宋体" w:cs="Times New Roman"/>
                <w:b/>
                <w:color w:val="000000" w:themeColor="text1"/>
                <w:kern w:val="2"/>
                <w:sz w:val="21"/>
                <w:szCs w:val="21"/>
                <w:lang w:val="en-US" w:eastAsia="zh-CN" w:bidi="ar-SA"/>
              </w:rPr>
            </w:pPr>
            <w:r>
              <w:rPr>
                <w:rFonts w:hint="eastAsia" w:ascii="宋体" w:hAnsi="宋体" w:cs="宋体"/>
                <w:sz w:val="21"/>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 w:val="21"/>
                <w:szCs w:val="21"/>
              </w:rPr>
            </w:pPr>
          </w:p>
        </w:tc>
        <w:tc>
          <w:tcPr>
            <w:tcW w:w="9198" w:type="dxa"/>
            <w:vAlign w:val="top"/>
          </w:tcPr>
          <w:p>
            <w:pPr>
              <w:spacing w:line="240" w:lineRule="exact"/>
              <w:ind w:left="159" w:hanging="167" w:hangingChars="79"/>
              <w:rPr>
                <w:b/>
                <w:color w:val="000000" w:themeColor="text1"/>
                <w:sz w:val="21"/>
                <w:szCs w:val="21"/>
              </w:rPr>
            </w:pPr>
            <w:r>
              <w:rPr>
                <w:rFonts w:hint="eastAsia"/>
                <w:b/>
                <w:color w:val="000000" w:themeColor="text1"/>
                <w:sz w:val="21"/>
                <w:szCs w:val="21"/>
              </w:rPr>
              <w:t>2. 组织内部沟通的充分性与效果；（OHSMS员工参与风险管理/健康安全事务的关心和影响力；组织对外联络关注顾客的感受情况、</w:t>
            </w:r>
            <w:r>
              <w:rPr>
                <w:b/>
                <w:color w:val="000000" w:themeColor="text1"/>
                <w:sz w:val="21"/>
                <w:szCs w:val="21"/>
              </w:rPr>
              <w:t>信息交流</w:t>
            </w:r>
            <w:r>
              <w:rPr>
                <w:rFonts w:hint="eastAsia"/>
                <w:b/>
                <w:color w:val="000000" w:themeColor="text1"/>
                <w:sz w:val="21"/>
                <w:szCs w:val="21"/>
              </w:rPr>
              <w:t>包括通报相关方的情况等）</w:t>
            </w:r>
          </w:p>
          <w:p>
            <w:pPr>
              <w:spacing w:line="240" w:lineRule="exact"/>
              <w:rPr>
                <w:rFonts w:ascii="楷体_GB2312" w:eastAsia="楷体_GB2312"/>
                <w:b/>
                <w:color w:val="000000" w:themeColor="text1"/>
                <w:sz w:val="21"/>
                <w:szCs w:val="21"/>
              </w:rPr>
            </w:pPr>
          </w:p>
          <w:p>
            <w:pPr>
              <w:spacing w:line="240" w:lineRule="exact"/>
              <w:rPr>
                <w:rFonts w:ascii="楷体_GB2312" w:eastAsia="楷体_GB2312"/>
                <w:b/>
                <w:color w:val="000000" w:themeColor="text1"/>
                <w:sz w:val="21"/>
                <w:szCs w:val="21"/>
              </w:rPr>
            </w:pPr>
            <w:r>
              <w:rPr>
                <w:rFonts w:hint="eastAsia" w:ascii="楷体_GB2312" w:eastAsia="楷体_GB2312"/>
                <w:b/>
                <w:color w:val="000000" w:themeColor="text1"/>
                <w:sz w:val="21"/>
                <w:szCs w:val="21"/>
              </w:rPr>
              <w:t>内部沟通的情况：内部沟通方式：</w:t>
            </w:r>
            <w:r>
              <w:rPr>
                <w:rFonts w:hint="eastAsia" w:ascii="宋体" w:hAnsi="宋体" w:cs="宋体"/>
                <w:color w:val="000000"/>
                <w:sz w:val="21"/>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1"/>
                <w:szCs w:val="21"/>
              </w:rPr>
            </w:pPr>
            <w:r>
              <w:rPr>
                <w:rFonts w:hint="eastAsia" w:ascii="楷体_GB2312" w:eastAsia="楷体_GB2312"/>
                <w:b/>
                <w:color w:val="000000" w:themeColor="text1"/>
                <w:sz w:val="21"/>
                <w:szCs w:val="21"/>
              </w:rPr>
              <w:t xml:space="preserve">                内部沟通的效果：良好</w:t>
            </w:r>
          </w:p>
          <w:p>
            <w:pPr>
              <w:spacing w:line="240" w:lineRule="exact"/>
              <w:rPr>
                <w:rFonts w:ascii="楷体_GB2312" w:eastAsia="楷体_GB2312"/>
                <w:b/>
                <w:color w:val="000000" w:themeColor="text1"/>
                <w:sz w:val="21"/>
                <w:szCs w:val="21"/>
              </w:rPr>
            </w:pPr>
          </w:p>
          <w:p>
            <w:pPr>
              <w:spacing w:line="240" w:lineRule="exact"/>
              <w:rPr>
                <w:rFonts w:ascii="楷体_GB2312" w:eastAsia="楷体_GB2312"/>
                <w:b/>
                <w:color w:val="000000" w:themeColor="text1"/>
                <w:sz w:val="21"/>
                <w:szCs w:val="21"/>
              </w:rPr>
            </w:pPr>
            <w:r>
              <w:rPr>
                <w:rFonts w:hint="eastAsia" w:ascii="楷体_GB2312" w:eastAsia="楷体_GB2312"/>
                <w:b/>
                <w:color w:val="000000" w:themeColor="text1"/>
                <w:sz w:val="21"/>
                <w:szCs w:val="21"/>
              </w:rPr>
              <w:t>组织对外联络，关注顾客的感受情况（QMS）：采取顾客满意度调查方式了解顾客感受。</w:t>
            </w:r>
          </w:p>
          <w:p>
            <w:pPr>
              <w:spacing w:line="240" w:lineRule="exact"/>
              <w:rPr>
                <w:rFonts w:ascii="楷体_GB2312" w:eastAsia="楷体_GB2312"/>
                <w:b/>
                <w:color w:val="000000" w:themeColor="text1"/>
                <w:sz w:val="21"/>
                <w:szCs w:val="21"/>
              </w:rPr>
            </w:pPr>
          </w:p>
          <w:p>
            <w:pPr>
              <w:spacing w:line="240" w:lineRule="exact"/>
              <w:rPr>
                <w:rFonts w:ascii="楷体_GB2312" w:eastAsia="楷体_GB2312"/>
                <w:b/>
                <w:color w:val="000000" w:themeColor="text1"/>
                <w:sz w:val="21"/>
                <w:szCs w:val="21"/>
              </w:rPr>
            </w:pPr>
            <w:r>
              <w:rPr>
                <w:rFonts w:hint="eastAsia" w:ascii="楷体_GB2312" w:eastAsia="楷体_GB2312"/>
                <w:b/>
                <w:color w:val="000000" w:themeColor="text1"/>
                <w:sz w:val="21"/>
                <w:szCs w:val="21"/>
              </w:rPr>
              <w:t>外部信息的接收、成文并答复的情况（E、S填写）：对会议通知和规定等登记处理</w:t>
            </w:r>
          </w:p>
          <w:p>
            <w:pPr>
              <w:spacing w:line="240" w:lineRule="exact"/>
              <w:rPr>
                <w:rFonts w:ascii="楷体_GB2312" w:eastAsia="楷体_GB2312"/>
                <w:b/>
                <w:color w:val="000000" w:themeColor="text1"/>
                <w:sz w:val="21"/>
                <w:szCs w:val="21"/>
              </w:rPr>
            </w:pPr>
          </w:p>
          <w:p>
            <w:pPr>
              <w:spacing w:line="240" w:lineRule="exact"/>
              <w:rPr>
                <w:sz w:val="21"/>
                <w:szCs w:val="21"/>
              </w:rPr>
            </w:pPr>
            <w:r>
              <w:rPr>
                <w:rFonts w:hint="eastAsia" w:ascii="楷体_GB2312" w:eastAsia="楷体_GB2312"/>
                <w:b/>
                <w:color w:val="000000" w:themeColor="text1"/>
                <w:sz w:val="21"/>
                <w:szCs w:val="21"/>
              </w:rPr>
              <w:t>重要环境因素信息对外交流情况（EMS填写）：</w:t>
            </w:r>
            <w:r>
              <w:rPr>
                <w:rFonts w:hint="eastAsia"/>
                <w:sz w:val="21"/>
                <w:szCs w:val="21"/>
              </w:rPr>
              <w:t>主要通过网络、交流及公开信、合同等方式进行，并达成一致性意见实施有效控制</w:t>
            </w:r>
          </w:p>
          <w:p>
            <w:pPr>
              <w:spacing w:line="240" w:lineRule="exact"/>
              <w:rPr>
                <w:rFonts w:ascii="楷体_GB2312" w:eastAsia="楷体_GB2312"/>
                <w:b/>
                <w:color w:val="000000" w:themeColor="text1"/>
                <w:sz w:val="21"/>
                <w:szCs w:val="21"/>
              </w:rPr>
            </w:pPr>
          </w:p>
          <w:p>
            <w:pPr>
              <w:spacing w:line="240" w:lineRule="exact"/>
              <w:rPr>
                <w:rFonts w:ascii="楷体_GB2312" w:eastAsia="楷体_GB2312"/>
                <w:b/>
                <w:color w:val="000000" w:themeColor="text1"/>
                <w:sz w:val="21"/>
                <w:szCs w:val="21"/>
              </w:rPr>
            </w:pPr>
            <w:r>
              <w:rPr>
                <w:rFonts w:hint="eastAsia" w:ascii="楷体_GB2312" w:eastAsia="楷体_GB2312"/>
                <w:b/>
                <w:color w:val="000000" w:themeColor="text1"/>
                <w:sz w:val="21"/>
                <w:szCs w:val="21"/>
              </w:rPr>
              <w:t>OHSMS事务代表协商和交流的情况（OHSMS填写）：</w:t>
            </w:r>
            <w:r>
              <w:rPr>
                <w:rFonts w:hint="eastAsia" w:ascii="宋体" w:hAnsi="宋体" w:cs="Arial"/>
                <w:sz w:val="21"/>
                <w:szCs w:val="21"/>
              </w:rPr>
              <w:t>与安全健康管理有关的法律法规，包括《劳动合同法》、《工伤保险条例》、《职业病防治法》等关于员工权益、保险等内容</w:t>
            </w:r>
          </w:p>
          <w:p>
            <w:pPr>
              <w:spacing w:line="240" w:lineRule="exact"/>
              <w:rPr>
                <w:rFonts w:ascii="楷体_GB2312" w:eastAsia="楷体_GB2312"/>
                <w:b/>
                <w:color w:val="000000" w:themeColor="text1"/>
                <w:sz w:val="21"/>
                <w:szCs w:val="21"/>
              </w:rPr>
            </w:pPr>
          </w:p>
          <w:p>
            <w:pPr>
              <w:spacing w:line="240" w:lineRule="exact"/>
              <w:rPr>
                <w:rFonts w:ascii="楷体_GB2312" w:hAnsi="Times New Roman" w:eastAsia="楷体_GB2312" w:cs="Times New Roman"/>
                <w:b/>
                <w:color w:val="000000" w:themeColor="text1"/>
                <w:kern w:val="2"/>
                <w:sz w:val="21"/>
                <w:szCs w:val="21"/>
                <w:lang w:val="en-US" w:eastAsia="zh-CN" w:bidi="ar-SA"/>
              </w:rPr>
            </w:pPr>
            <w:r>
              <w:rPr>
                <w:rFonts w:hint="eastAsia" w:ascii="楷体_GB2312" w:eastAsia="楷体_GB2312"/>
                <w:b/>
                <w:color w:val="000000" w:themeColor="text1"/>
                <w:sz w:val="2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spacing w:line="240" w:lineRule="exact"/>
              <w:jc w:val="center"/>
              <w:rPr>
                <w:b/>
                <w:sz w:val="21"/>
                <w:szCs w:val="21"/>
              </w:rPr>
            </w:pPr>
          </w:p>
        </w:tc>
        <w:tc>
          <w:tcPr>
            <w:tcW w:w="9198" w:type="dxa"/>
            <w:vAlign w:val="top"/>
          </w:tcPr>
          <w:p>
            <w:pPr>
              <w:spacing w:line="240" w:lineRule="exact"/>
              <w:rPr>
                <w:b/>
                <w:color w:val="000000" w:themeColor="text1"/>
                <w:sz w:val="21"/>
                <w:szCs w:val="21"/>
              </w:rPr>
            </w:pPr>
            <w:r>
              <w:rPr>
                <w:rFonts w:hint="eastAsia"/>
                <w:b/>
                <w:color w:val="000000" w:themeColor="text1"/>
                <w:sz w:val="21"/>
                <w:szCs w:val="21"/>
              </w:rPr>
              <w:t>3.  QMS 组织对重要过程实施控制的结果</w:t>
            </w:r>
          </w:p>
          <w:p>
            <w:pPr>
              <w:spacing w:line="240" w:lineRule="exact"/>
              <w:ind w:left="206" w:leftChars="42" w:hanging="105" w:hangingChars="50"/>
              <w:rPr>
                <w:b/>
                <w:color w:val="000000" w:themeColor="text1"/>
                <w:sz w:val="21"/>
                <w:szCs w:val="21"/>
              </w:rPr>
            </w:pPr>
            <w:r>
              <w:rPr>
                <w:rFonts w:hint="eastAsia"/>
                <w:b/>
                <w:color w:val="000000" w:themeColor="text1"/>
                <w:sz w:val="21"/>
                <w:szCs w:val="21"/>
              </w:rPr>
              <w:t>(包括对QMS关键工序(过程)、特殊过程控制;评价组织对过程实施控制情况/)</w:t>
            </w:r>
          </w:p>
          <w:p>
            <w:pPr>
              <w:spacing w:line="240" w:lineRule="exact"/>
              <w:rPr>
                <w:rFonts w:ascii="Times New Roman" w:hAnsi="Times New Roman" w:eastAsia="宋体" w:cs="Times New Roman"/>
                <w:b/>
                <w:color w:val="000000" w:themeColor="text1"/>
                <w:kern w:val="2"/>
                <w:sz w:val="21"/>
                <w:szCs w:val="21"/>
                <w:lang w:val="en-US" w:eastAsia="zh-CN" w:bidi="ar-SA"/>
              </w:rPr>
            </w:pPr>
            <w:r>
              <w:rPr>
                <w:rFonts w:hint="eastAsia" w:ascii="Times New Roman" w:hAnsi="Times New Roman" w:eastAsia="宋体" w:cs="Times New Roman"/>
                <w:sz w:val="21"/>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w:t>
            </w:r>
            <w:r>
              <w:rPr>
                <w:b/>
                <w:color w:val="000000" w:themeColor="text1"/>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0" w:hRule="atLeast"/>
          <w:jc w:val="center"/>
        </w:trPr>
        <w:tc>
          <w:tcPr>
            <w:tcW w:w="720" w:type="dxa"/>
            <w:vMerge w:val="continue"/>
            <w:vAlign w:val="center"/>
          </w:tcPr>
          <w:p>
            <w:pPr>
              <w:spacing w:line="240" w:lineRule="exact"/>
              <w:jc w:val="center"/>
              <w:rPr>
                <w:b/>
                <w:sz w:val="21"/>
                <w:szCs w:val="21"/>
              </w:rPr>
            </w:pPr>
          </w:p>
        </w:tc>
        <w:tc>
          <w:tcPr>
            <w:tcW w:w="9198" w:type="dxa"/>
            <w:vAlign w:val="top"/>
          </w:tcPr>
          <w:p>
            <w:pPr>
              <w:spacing w:line="300" w:lineRule="exact"/>
              <w:jc w:val="left"/>
              <w:rPr>
                <w:b/>
                <w:color w:val="000000" w:themeColor="text1"/>
                <w:sz w:val="21"/>
                <w:szCs w:val="21"/>
              </w:rPr>
            </w:pPr>
            <w:r>
              <w:rPr>
                <w:rFonts w:hint="eastAsia"/>
                <w:b/>
                <w:color w:val="000000" w:themeColor="text1"/>
                <w:sz w:val="21"/>
                <w:szCs w:val="21"/>
              </w:rPr>
              <w:t>4.QMS产品/服务的标准、协议/规范的有效性以及产品/服务质量符合要求，向顾客稳定提供合格产品的情况；</w:t>
            </w:r>
          </w:p>
          <w:p>
            <w:pPr>
              <w:spacing w:line="240" w:lineRule="exact"/>
              <w:rPr>
                <w:rFonts w:ascii="宋体" w:hAnsi="宋体" w:cs="宋体"/>
                <w:color w:val="000000"/>
                <w:sz w:val="21"/>
                <w:szCs w:val="21"/>
              </w:rPr>
            </w:pPr>
            <w:r>
              <w:rPr>
                <w:rFonts w:hint="eastAsia" w:ascii="宋体" w:hAnsi="宋体" w:cs="宋体"/>
                <w:color w:val="000000"/>
                <w:sz w:val="21"/>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pPr>
              <w:spacing w:line="240" w:lineRule="exact"/>
              <w:rPr>
                <w:rFonts w:ascii="Times New Roman" w:hAnsi="Times New Roman" w:eastAsia="宋体" w:cs="Times New Roman"/>
                <w:b/>
                <w:color w:val="000000" w:themeColor="text1"/>
                <w:kern w:val="2"/>
                <w:sz w:val="21"/>
                <w:szCs w:val="21"/>
                <w:lang w:val="en-US" w:eastAsia="zh-CN" w:bidi="ar-SA"/>
              </w:rPr>
            </w:pPr>
            <w:r>
              <w:rPr>
                <w:rFonts w:hint="eastAsia"/>
                <w:b/>
                <w:color w:val="000000" w:themeColor="text1"/>
                <w:sz w:val="21"/>
                <w:szCs w:val="21"/>
              </w:rPr>
              <w:t>(应说明相关证据)：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2" w:hRule="atLeast"/>
          <w:jc w:val="center"/>
        </w:trPr>
        <w:tc>
          <w:tcPr>
            <w:tcW w:w="720" w:type="dxa"/>
            <w:vMerge w:val="continue"/>
            <w:vAlign w:val="center"/>
          </w:tcPr>
          <w:p>
            <w:pPr>
              <w:spacing w:line="240" w:lineRule="exact"/>
              <w:jc w:val="center"/>
              <w:rPr>
                <w:b/>
                <w:sz w:val="21"/>
                <w:szCs w:val="21"/>
              </w:rPr>
            </w:pPr>
          </w:p>
        </w:tc>
        <w:tc>
          <w:tcPr>
            <w:tcW w:w="9198" w:type="dxa"/>
            <w:vAlign w:val="top"/>
          </w:tcPr>
          <w:p>
            <w:pPr>
              <w:spacing w:line="240" w:lineRule="exact"/>
              <w:rPr>
                <w:b/>
                <w:color w:val="000000" w:themeColor="text1"/>
                <w:sz w:val="21"/>
                <w:szCs w:val="21"/>
              </w:rPr>
            </w:pPr>
            <w:r>
              <w:rPr>
                <w:rFonts w:hint="eastAsia"/>
                <w:b/>
                <w:color w:val="000000" w:themeColor="text1"/>
                <w:sz w:val="21"/>
                <w:szCs w:val="21"/>
              </w:rPr>
              <w:t>5 .QMS国家/地方技术监督部门监测（检测、委托检测、定期监测、型式试验等）、抽查结果</w:t>
            </w:r>
          </w:p>
          <w:p>
            <w:pPr>
              <w:spacing w:line="300" w:lineRule="exact"/>
              <w:ind w:firstLine="207" w:firstLineChars="98"/>
              <w:rPr>
                <w:b/>
                <w:color w:val="000000" w:themeColor="text1"/>
                <w:sz w:val="21"/>
                <w:szCs w:val="21"/>
              </w:rPr>
            </w:pPr>
            <w:r>
              <w:rPr>
                <w:rFonts w:hint="eastAsia"/>
                <w:b/>
                <w:color w:val="000000" w:themeColor="text1"/>
                <w:sz w:val="21"/>
                <w:szCs w:val="21"/>
              </w:rPr>
              <w:t>无</w:t>
            </w:r>
          </w:p>
          <w:p>
            <w:pPr>
              <w:spacing w:line="300" w:lineRule="exact"/>
              <w:ind w:firstLine="207" w:firstLineChars="98"/>
              <w:rPr>
                <w:rFonts w:ascii="Times New Roman" w:hAnsi="Times New Roman" w:eastAsia="宋体" w:cs="Times New Roman"/>
                <w:b/>
                <w:color w:val="000000" w:themeColor="text1"/>
                <w:kern w:val="2"/>
                <w:sz w:val="21"/>
                <w:szCs w:val="21"/>
                <w:lang w:val="en-US" w:eastAsia="zh-CN" w:bidi="ar-SA"/>
              </w:rPr>
            </w:pPr>
            <w:r>
              <w:rPr>
                <w:rFonts w:hint="eastAsia"/>
                <w:b/>
                <w:color w:val="000000" w:themeColor="text1"/>
                <w:sz w:val="21"/>
                <w:szCs w:val="21"/>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8" w:hRule="atLeast"/>
          <w:jc w:val="center"/>
        </w:trPr>
        <w:tc>
          <w:tcPr>
            <w:tcW w:w="720" w:type="dxa"/>
            <w:vMerge w:val="continue"/>
            <w:vAlign w:val="center"/>
          </w:tcPr>
          <w:p>
            <w:pPr>
              <w:spacing w:line="240" w:lineRule="exact"/>
              <w:jc w:val="center"/>
              <w:rPr>
                <w:b/>
                <w:sz w:val="21"/>
                <w:szCs w:val="21"/>
              </w:rPr>
            </w:pPr>
          </w:p>
        </w:tc>
        <w:tc>
          <w:tcPr>
            <w:tcW w:w="9198" w:type="dxa"/>
            <w:vAlign w:val="top"/>
          </w:tcPr>
          <w:p>
            <w:pPr>
              <w:spacing w:line="240" w:lineRule="exact"/>
              <w:rPr>
                <w:b/>
                <w:color w:val="000000" w:themeColor="text1"/>
                <w:spacing w:val="-8"/>
                <w:sz w:val="21"/>
                <w:szCs w:val="21"/>
              </w:rPr>
            </w:pPr>
            <w:r>
              <w:rPr>
                <w:rFonts w:hint="eastAsia"/>
                <w:b/>
                <w:color w:val="000000" w:themeColor="text1"/>
                <w:sz w:val="21"/>
                <w:szCs w:val="21"/>
              </w:rPr>
              <w:t xml:space="preserve">6. </w:t>
            </w:r>
            <w:r>
              <w:rPr>
                <w:rFonts w:hint="eastAsia"/>
                <w:b/>
                <w:color w:val="000000" w:themeColor="text1"/>
                <w:spacing w:val="-8"/>
                <w:sz w:val="21"/>
                <w:szCs w:val="21"/>
              </w:rPr>
              <w:t>不合格品/项的识别、控制;</w:t>
            </w:r>
          </w:p>
          <w:p>
            <w:pPr>
              <w:spacing w:line="240" w:lineRule="exact"/>
              <w:rPr>
                <w:rFonts w:ascii="Times New Roman" w:hAnsi="Times New Roman" w:eastAsia="宋体" w:cs="Times New Roman"/>
                <w:b/>
                <w:color w:val="000000" w:themeColor="text1"/>
                <w:kern w:val="2"/>
                <w:sz w:val="21"/>
                <w:szCs w:val="21"/>
                <w:lang w:val="en-US" w:eastAsia="zh-CN" w:bidi="ar-SA"/>
              </w:rPr>
            </w:pPr>
            <w:r>
              <w:rPr>
                <w:rFonts w:hint="eastAsia" w:ascii="宋体" w:hAnsi="宋体" w:cs="宋体"/>
                <w:color w:val="000000"/>
                <w:sz w:val="21"/>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 w:val="21"/>
                <w:szCs w:val="21"/>
              </w:rPr>
            </w:pPr>
          </w:p>
        </w:tc>
        <w:tc>
          <w:tcPr>
            <w:tcW w:w="9198" w:type="dxa"/>
            <w:vAlign w:val="top"/>
          </w:tcPr>
          <w:p>
            <w:pPr>
              <w:spacing w:line="240" w:lineRule="exact"/>
              <w:rPr>
                <w:b/>
                <w:color w:val="000000" w:themeColor="text1"/>
                <w:sz w:val="21"/>
                <w:szCs w:val="21"/>
              </w:rPr>
            </w:pPr>
            <w:r>
              <w:rPr>
                <w:rFonts w:hint="eastAsia"/>
                <w:b/>
                <w:color w:val="000000" w:themeColor="text1"/>
                <w:sz w:val="21"/>
                <w:szCs w:val="21"/>
              </w:rPr>
              <w:t>7. EMS组织对重要环境因素实施控制的结果</w:t>
            </w:r>
          </w:p>
          <w:p>
            <w:pPr>
              <w:spacing w:line="240" w:lineRule="exact"/>
              <w:rPr>
                <w:b/>
                <w:color w:val="000000" w:themeColor="text1"/>
                <w:sz w:val="21"/>
                <w:szCs w:val="21"/>
              </w:rPr>
            </w:pPr>
            <w:r>
              <w:rPr>
                <w:rFonts w:hint="eastAsia"/>
                <w:b/>
                <w:color w:val="000000" w:themeColor="text1"/>
                <w:sz w:val="21"/>
                <w:szCs w:val="21"/>
              </w:rPr>
              <w:t>（EMS对重要环境因素控制，重大环境因素对周边环境产生的影响及控制;对相关方施加影响）</w:t>
            </w:r>
          </w:p>
          <w:p>
            <w:pPr>
              <w:tabs>
                <w:tab w:val="left" w:pos="2552"/>
              </w:tabs>
              <w:spacing w:line="360" w:lineRule="exact"/>
              <w:ind w:firstLine="315" w:firstLineChars="150"/>
              <w:rPr>
                <w:rFonts w:ascii="Times New Roman" w:hAnsi="Times New Roman" w:eastAsia="宋体" w:cs="Times New Roman"/>
                <w:b/>
                <w:color w:val="000000" w:themeColor="text1"/>
                <w:kern w:val="2"/>
                <w:sz w:val="21"/>
                <w:szCs w:val="21"/>
                <w:lang w:val="en-US" w:eastAsia="zh-CN" w:bidi="ar-SA"/>
              </w:rPr>
            </w:pPr>
            <w:r>
              <w:rPr>
                <w:rFonts w:hint="eastAsia" w:asciiTheme="minorEastAsia" w:hAnsiTheme="minorEastAsia" w:eastAsiaTheme="minorEastAsia"/>
                <w:bCs/>
                <w:iCs/>
                <w:sz w:val="21"/>
                <w:szCs w:val="21"/>
              </w:rPr>
              <w:t>组织重要环境因素为固废排放和潜在火灾，需要应对的风险和机遇相关的过程为</w:t>
            </w:r>
            <w:r>
              <w:rPr>
                <w:rFonts w:hint="eastAsia" w:asciiTheme="minorEastAsia" w:hAnsiTheme="minorEastAsia" w:eastAsiaTheme="minorEastAsia"/>
                <w:bCs/>
                <w:iCs/>
                <w:sz w:val="21"/>
                <w:szCs w:val="21"/>
                <w:lang w:val="en-US" w:eastAsia="zh-CN"/>
              </w:rPr>
              <w:t>软件研发、服务方案设计</w:t>
            </w:r>
            <w:r>
              <w:rPr>
                <w:rFonts w:hint="eastAsia" w:asciiTheme="minorEastAsia" w:hAnsiTheme="minorEastAsia" w:eastAsiaTheme="minorEastAsia"/>
                <w:bCs/>
                <w:iCs/>
                <w:sz w:val="21"/>
                <w:szCs w:val="21"/>
              </w:rPr>
              <w:t>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8" w:hRule="atLeast"/>
          <w:jc w:val="center"/>
        </w:trPr>
        <w:tc>
          <w:tcPr>
            <w:tcW w:w="720" w:type="dxa"/>
            <w:vMerge w:val="continue"/>
            <w:vAlign w:val="center"/>
          </w:tcPr>
          <w:p>
            <w:pPr>
              <w:spacing w:line="240" w:lineRule="exact"/>
              <w:jc w:val="center"/>
              <w:rPr>
                <w:b/>
                <w:sz w:val="21"/>
                <w:szCs w:val="21"/>
              </w:rPr>
            </w:pPr>
          </w:p>
        </w:tc>
        <w:tc>
          <w:tcPr>
            <w:tcW w:w="9198" w:type="dxa"/>
            <w:vAlign w:val="top"/>
          </w:tcPr>
          <w:p>
            <w:pPr>
              <w:spacing w:line="240" w:lineRule="exact"/>
              <w:rPr>
                <w:b/>
                <w:color w:val="000000" w:themeColor="text1"/>
                <w:sz w:val="21"/>
                <w:szCs w:val="21"/>
              </w:rPr>
            </w:pPr>
            <w:r>
              <w:rPr>
                <w:rFonts w:hint="eastAsia"/>
                <w:b/>
                <w:color w:val="000000" w:themeColor="text1"/>
                <w:sz w:val="21"/>
                <w:szCs w:val="21"/>
              </w:rPr>
              <w:t>8. OHS 组织对不可接受风险实施控制的结果</w:t>
            </w:r>
          </w:p>
          <w:p>
            <w:pPr>
              <w:tabs>
                <w:tab w:val="left" w:pos="2552"/>
              </w:tabs>
              <w:spacing w:line="360" w:lineRule="exact"/>
              <w:ind w:firstLine="315" w:firstLineChars="150"/>
              <w:rPr>
                <w:rFonts w:asciiTheme="minorEastAsia" w:hAnsiTheme="minorEastAsia" w:eastAsiaTheme="minorEastAsia"/>
                <w:bCs/>
                <w:iCs/>
                <w:sz w:val="21"/>
                <w:szCs w:val="21"/>
              </w:rPr>
            </w:pPr>
            <w:r>
              <w:rPr>
                <w:rFonts w:hint="eastAsia" w:asciiTheme="minorEastAsia" w:hAnsiTheme="minorEastAsia" w:eastAsiaTheme="minorEastAsia"/>
                <w:bCs/>
                <w:iCs/>
                <w:sz w:val="21"/>
                <w:szCs w:val="21"/>
              </w:rPr>
              <w:t>组织建立了危险源识别、评价控制程序，识别评价了危险源、风险相关的过程，评价出了重要危险源，与之相关的过程有服务、信息处理过程，针对不可接受风险制定了管理方案。控制措施实施有效。</w:t>
            </w:r>
          </w:p>
          <w:p>
            <w:pPr>
              <w:spacing w:line="240" w:lineRule="exact"/>
              <w:rPr>
                <w:rFonts w:ascii="Times New Roman" w:hAnsi="Times New Roman" w:eastAsia="宋体" w:cs="Times New Roman"/>
                <w:b/>
                <w:color w:val="000000" w:themeColor="text1"/>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9" w:hRule="atLeast"/>
          <w:jc w:val="center"/>
        </w:trPr>
        <w:tc>
          <w:tcPr>
            <w:tcW w:w="720" w:type="dxa"/>
            <w:vMerge w:val="continue"/>
            <w:vAlign w:val="center"/>
          </w:tcPr>
          <w:p>
            <w:pPr>
              <w:spacing w:line="240" w:lineRule="exact"/>
              <w:jc w:val="center"/>
              <w:rPr>
                <w:b/>
                <w:sz w:val="21"/>
                <w:szCs w:val="21"/>
              </w:rPr>
            </w:pPr>
          </w:p>
        </w:tc>
        <w:tc>
          <w:tcPr>
            <w:tcW w:w="9198" w:type="dxa"/>
            <w:vAlign w:val="top"/>
          </w:tcPr>
          <w:p>
            <w:pPr>
              <w:spacing w:line="240" w:lineRule="exact"/>
              <w:ind w:left="201" w:hanging="211" w:hangingChars="100"/>
              <w:rPr>
                <w:b/>
                <w:color w:val="000000" w:themeColor="text1"/>
                <w:sz w:val="21"/>
                <w:szCs w:val="21"/>
              </w:rPr>
            </w:pPr>
            <w:r>
              <w:rPr>
                <w:rFonts w:hint="eastAsia"/>
                <w:b/>
                <w:color w:val="000000" w:themeColor="text1"/>
                <w:sz w:val="21"/>
                <w:szCs w:val="21"/>
              </w:rPr>
              <w:t xml:space="preserve">9. 应急准备与相应活动的演练及对预案可行性的评价(当有规定时) </w:t>
            </w:r>
          </w:p>
          <w:p>
            <w:pPr>
              <w:spacing w:line="240" w:lineRule="exact"/>
              <w:rPr>
                <w:rFonts w:cs="Times New Roman" w:asciiTheme="minorEastAsia" w:hAnsiTheme="minorEastAsia" w:eastAsiaTheme="minorEastAsia"/>
                <w:b/>
                <w:color w:val="000000" w:themeColor="text1"/>
                <w:spacing w:val="-4"/>
                <w:kern w:val="2"/>
                <w:sz w:val="21"/>
                <w:szCs w:val="21"/>
                <w:lang w:val="en-US" w:eastAsia="zh-CN" w:bidi="ar-SA"/>
              </w:rPr>
            </w:pPr>
            <w:r>
              <w:rPr>
                <w:rFonts w:hint="eastAsia" w:asciiTheme="minorEastAsia" w:hAnsiTheme="minorEastAsia" w:eastAsiaTheme="minorEastAsia"/>
                <w:bCs/>
                <w:iCs/>
                <w:sz w:val="21"/>
                <w:szCs w:val="21"/>
              </w:rPr>
              <w:t>组织识别了紧急情况，应急准备和响应为潜在火灾，识别合理、有效。应急物资配备有灭火器和消防栓，编制有应急预案，并组织了演练，并对应急预案进行了评价。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720" w:type="dxa"/>
            <w:vMerge w:val="continue"/>
            <w:vAlign w:val="center"/>
          </w:tcPr>
          <w:p>
            <w:pPr>
              <w:spacing w:line="240" w:lineRule="exact"/>
              <w:jc w:val="center"/>
              <w:rPr>
                <w:b/>
                <w:sz w:val="21"/>
                <w:szCs w:val="21"/>
              </w:rPr>
            </w:pPr>
          </w:p>
        </w:tc>
        <w:tc>
          <w:tcPr>
            <w:tcW w:w="9198" w:type="dxa"/>
            <w:vAlign w:val="top"/>
          </w:tcPr>
          <w:p>
            <w:pPr>
              <w:spacing w:line="240" w:lineRule="exact"/>
              <w:rPr>
                <w:b/>
                <w:color w:val="000000" w:themeColor="text1"/>
                <w:sz w:val="21"/>
                <w:szCs w:val="21"/>
              </w:rPr>
            </w:pPr>
            <w:r>
              <w:rPr>
                <w:rFonts w:hint="eastAsia"/>
                <w:b/>
                <w:color w:val="000000" w:themeColor="text1"/>
                <w:sz w:val="21"/>
                <w:szCs w:val="21"/>
              </w:rPr>
              <w:t xml:space="preserve">10. 对特种设备的维护; </w:t>
            </w:r>
            <w:r>
              <w:rPr>
                <w:rFonts w:hint="eastAsia"/>
                <w:b/>
                <w:sz w:val="21"/>
                <w:szCs w:val="21"/>
              </w:rPr>
              <w:t>（适用时）</w:t>
            </w:r>
          </w:p>
          <w:p>
            <w:pPr>
              <w:spacing w:line="240" w:lineRule="exact"/>
              <w:rPr>
                <w:rFonts w:ascii="Times New Roman" w:hAnsi="Times New Roman" w:eastAsia="宋体" w:cs="Times New Roman"/>
                <w:b/>
                <w:color w:val="000000" w:themeColor="text1"/>
                <w:kern w:val="2"/>
                <w:sz w:val="21"/>
                <w:szCs w:val="21"/>
                <w:lang w:val="en-US" w:eastAsia="zh-CN" w:bidi="ar-SA"/>
              </w:rPr>
            </w:pPr>
            <w:r>
              <w:rPr>
                <w:rFonts w:hint="eastAsia"/>
                <w:b/>
                <w:color w:val="000000" w:themeColor="text1"/>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trPr>
        <w:tc>
          <w:tcPr>
            <w:tcW w:w="720" w:type="dxa"/>
            <w:vMerge w:val="continue"/>
            <w:vAlign w:val="center"/>
          </w:tcPr>
          <w:p>
            <w:pPr>
              <w:spacing w:line="240" w:lineRule="exact"/>
              <w:jc w:val="center"/>
              <w:rPr>
                <w:b/>
                <w:sz w:val="21"/>
                <w:szCs w:val="21"/>
              </w:rPr>
            </w:pPr>
          </w:p>
        </w:tc>
        <w:tc>
          <w:tcPr>
            <w:tcW w:w="9198" w:type="dxa"/>
            <w:vAlign w:val="top"/>
          </w:tcPr>
          <w:p>
            <w:pPr>
              <w:spacing w:line="240" w:lineRule="exact"/>
              <w:rPr>
                <w:b/>
                <w:sz w:val="21"/>
                <w:szCs w:val="21"/>
              </w:rPr>
            </w:pPr>
            <w:r>
              <w:rPr>
                <w:rFonts w:hint="eastAsia"/>
                <w:b/>
                <w:color w:val="000000" w:themeColor="text1"/>
                <w:sz w:val="21"/>
                <w:szCs w:val="21"/>
              </w:rPr>
              <w:t>11 .对危险化学品销售、使用、储存、运输处置，规定的执行力度(必要时);</w:t>
            </w:r>
            <w:r>
              <w:rPr>
                <w:rFonts w:hint="eastAsia"/>
                <w:b/>
                <w:color w:val="FF0000"/>
                <w:sz w:val="21"/>
                <w:szCs w:val="21"/>
              </w:rPr>
              <w:t xml:space="preserve"> </w:t>
            </w:r>
            <w:r>
              <w:rPr>
                <w:rFonts w:hint="eastAsia"/>
                <w:b/>
                <w:sz w:val="21"/>
                <w:szCs w:val="21"/>
              </w:rPr>
              <w:t>（适用时）</w:t>
            </w:r>
          </w:p>
          <w:p>
            <w:pPr>
              <w:spacing w:line="240" w:lineRule="exact"/>
              <w:rPr>
                <w:rFonts w:ascii="Times New Roman" w:hAnsi="Times New Roman" w:eastAsia="宋体" w:cs="Times New Roman"/>
                <w:kern w:val="2"/>
                <w:sz w:val="21"/>
                <w:szCs w:val="21"/>
                <w:lang w:val="en-US" w:eastAsia="zh-CN" w:bidi="ar-SA"/>
              </w:rPr>
            </w:pPr>
            <w:r>
              <w:rPr>
                <w:rFonts w:hint="eastAsia"/>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6" w:hRule="atLeast"/>
          <w:jc w:val="center"/>
        </w:trPr>
        <w:tc>
          <w:tcPr>
            <w:tcW w:w="720" w:type="dxa"/>
            <w:vMerge w:val="restart"/>
            <w:textDirection w:val="tbRlV"/>
            <w:vAlign w:val="center"/>
          </w:tcPr>
          <w:p>
            <w:pPr>
              <w:spacing w:line="240" w:lineRule="exact"/>
              <w:ind w:left="113" w:right="113"/>
              <w:jc w:val="center"/>
              <w:rPr>
                <w:rFonts w:ascii="宋体" w:hAnsi="宋体"/>
                <w:b/>
                <w:sz w:val="21"/>
                <w:szCs w:val="21"/>
              </w:rPr>
            </w:pPr>
            <w:r>
              <w:rPr>
                <w:rFonts w:ascii="宋体" w:hAnsi="宋体"/>
                <w:b/>
                <w:sz w:val="21"/>
                <w:szCs w:val="21"/>
              </w:rPr>
              <w:t>(</w:t>
            </w:r>
            <w:r>
              <w:rPr>
                <w:rFonts w:hint="eastAsia" w:ascii="宋体" w:hAnsi="宋体"/>
                <w:b/>
                <w:sz w:val="21"/>
                <w:szCs w:val="21"/>
              </w:rPr>
              <w:t>四</w:t>
            </w:r>
            <w:r>
              <w:rPr>
                <w:rFonts w:ascii="宋体" w:hAnsi="宋体"/>
                <w:b/>
                <w:sz w:val="21"/>
                <w:szCs w:val="21"/>
              </w:rPr>
              <w:t>)</w:t>
            </w:r>
            <w:r>
              <w:rPr>
                <w:rFonts w:hint="eastAsia" w:ascii="宋体" w:hAnsi="宋体"/>
                <w:b/>
                <w:sz w:val="21"/>
                <w:szCs w:val="21"/>
              </w:rPr>
              <w:t>监视测量方面</w:t>
            </w:r>
          </w:p>
        </w:tc>
        <w:tc>
          <w:tcPr>
            <w:tcW w:w="9198" w:type="dxa"/>
            <w:vAlign w:val="top"/>
          </w:tcPr>
          <w:p>
            <w:pPr>
              <w:spacing w:line="240" w:lineRule="exact"/>
              <w:ind w:left="100" w:hanging="105" w:hangingChars="50"/>
              <w:rPr>
                <w:b/>
                <w:color w:val="000000" w:themeColor="text1"/>
                <w:sz w:val="21"/>
                <w:szCs w:val="21"/>
              </w:rPr>
            </w:pPr>
            <w:r>
              <w:rPr>
                <w:rFonts w:hint="eastAsia"/>
                <w:b/>
                <w:color w:val="000000" w:themeColor="text1"/>
                <w:sz w:val="21"/>
                <w:szCs w:val="21"/>
              </w:rPr>
              <w:t>1. 对质量/环境/职业健康安全目标指标进行定期监测/检查情况</w:t>
            </w:r>
            <w:r>
              <w:rPr>
                <w:rFonts w:hint="eastAsia"/>
                <w:b/>
                <w:sz w:val="21"/>
                <w:szCs w:val="21"/>
              </w:rPr>
              <w:t>（适用时）</w:t>
            </w:r>
          </w:p>
          <w:p>
            <w:pPr>
              <w:spacing w:line="240" w:lineRule="exact"/>
              <w:ind w:firstLine="105" w:firstLineChars="50"/>
              <w:rPr>
                <w:rFonts w:ascii="Times New Roman" w:hAnsi="Times New Roman" w:eastAsia="宋体" w:cs="Times New Roman"/>
                <w:b/>
                <w:color w:val="000000" w:themeColor="text1"/>
                <w:kern w:val="2"/>
                <w:sz w:val="21"/>
                <w:szCs w:val="21"/>
                <w:lang w:val="en-US" w:eastAsia="zh-CN" w:bidi="ar-SA"/>
              </w:rPr>
            </w:pPr>
            <w:r>
              <w:rPr>
                <w:rFonts w:hint="eastAsia" w:ascii="宋体" w:hAnsi="宋体" w:cs="宋体"/>
                <w:color w:val="000000"/>
                <w:sz w:val="21"/>
                <w:szCs w:val="21"/>
              </w:rPr>
              <w:t>公司制定、发布了总体目标并分解到相关职能部门和层次，规定了目标值、计算方法、责任部门、检查人、考核频次等。同时，质量目标得到沟通和监视评价，通过数据</w:t>
            </w:r>
            <w:r>
              <w:rPr>
                <w:rFonts w:hint="eastAsia" w:ascii="宋体" w:hAnsi="宋体" w:cs="宋体"/>
                <w:color w:val="000000" w:themeColor="text1"/>
                <w:sz w:val="21"/>
                <w:szCs w:val="21"/>
                <w14:textFill>
                  <w14:solidFill>
                    <w14:schemeClr w14:val="tx1"/>
                  </w14:solidFill>
                </w14:textFill>
              </w:rPr>
              <w:t>的汇总统计、描述性统计等方法对目标进行了测量，总体已达到或超过了规定的目标值。</w:t>
            </w:r>
            <w:r>
              <w:rPr>
                <w:rFonts w:hint="eastAsia" w:ascii="宋体" w:hAnsi="宋体" w:cs="宋体"/>
                <w:color w:val="000000" w:themeColor="text1"/>
                <w:sz w:val="21"/>
                <w:szCs w:val="21"/>
                <w:highlight w:val="none"/>
                <w14:textFill>
                  <w14:solidFill>
                    <w14:schemeClr w14:val="tx1"/>
                  </w14:solidFill>
                </w14:textFill>
              </w:rPr>
              <w:t>通过20</w:t>
            </w:r>
            <w:r>
              <w:rPr>
                <w:rFonts w:hint="eastAsia" w:ascii="宋体" w:hAnsi="宋体" w:cs="宋体"/>
                <w:color w:val="000000" w:themeColor="text1"/>
                <w:sz w:val="21"/>
                <w:szCs w:val="21"/>
                <w:highlight w:val="none"/>
                <w:lang w:val="en-US" w:eastAsia="zh-CN"/>
                <w14:textFill>
                  <w14:solidFill>
                    <w14:schemeClr w14:val="tx1"/>
                  </w14:solidFill>
                </w14:textFill>
              </w:rPr>
              <w:t>20</w:t>
            </w:r>
            <w:r>
              <w:rPr>
                <w:rFonts w:hint="eastAsia" w:ascii="宋体" w:hAnsi="宋体" w:cs="宋体"/>
                <w:color w:val="000000" w:themeColor="text1"/>
                <w:sz w:val="21"/>
                <w:szCs w:val="21"/>
                <w:highlight w:val="none"/>
                <w14:textFill>
                  <w14:solidFill>
                    <w14:schemeClr w14:val="tx1"/>
                  </w14:solidFill>
                </w14:textFill>
              </w:rPr>
              <w:t>年1-</w:t>
            </w:r>
            <w:r>
              <w:rPr>
                <w:rFonts w:hint="eastAsia" w:ascii="宋体" w:hAnsi="宋体" w:cs="宋体"/>
                <w:color w:val="000000" w:themeColor="text1"/>
                <w:sz w:val="21"/>
                <w:szCs w:val="21"/>
                <w:highlight w:val="none"/>
                <w:lang w:val="en-US" w:eastAsia="zh-CN"/>
                <w14:textFill>
                  <w14:solidFill>
                    <w14:schemeClr w14:val="tx1"/>
                  </w14:solidFill>
                </w14:textFill>
              </w:rPr>
              <w:t>11</w:t>
            </w:r>
            <w:r>
              <w:rPr>
                <w:rFonts w:hint="eastAsia" w:ascii="宋体" w:hAnsi="宋体" w:cs="宋体"/>
                <w:color w:val="000000" w:themeColor="text1"/>
                <w:sz w:val="21"/>
                <w:szCs w:val="21"/>
                <w:highlight w:val="none"/>
                <w14:textFill>
                  <w14:solidFill>
                    <w14:schemeClr w14:val="tx1"/>
                  </w14:solidFill>
                </w14:textFill>
              </w:rPr>
              <w:t>月目标</w:t>
            </w:r>
            <w:r>
              <w:rPr>
                <w:rFonts w:hint="eastAsia" w:ascii="宋体" w:hAnsi="宋体" w:cs="宋体"/>
                <w:color w:val="000000"/>
                <w:sz w:val="21"/>
                <w:szCs w:val="21"/>
                <w:highlight w:val="none"/>
              </w:rPr>
              <w:t>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1" w:hRule="atLeast"/>
          <w:jc w:val="center"/>
        </w:trPr>
        <w:tc>
          <w:tcPr>
            <w:tcW w:w="720" w:type="dxa"/>
            <w:vMerge w:val="continue"/>
            <w:textDirection w:val="tbRlV"/>
            <w:vAlign w:val="center"/>
          </w:tcPr>
          <w:p>
            <w:pPr>
              <w:spacing w:line="240" w:lineRule="exact"/>
              <w:ind w:left="113" w:right="113"/>
              <w:jc w:val="center"/>
              <w:rPr>
                <w:b/>
                <w:sz w:val="21"/>
                <w:szCs w:val="21"/>
              </w:rPr>
            </w:pPr>
          </w:p>
        </w:tc>
        <w:tc>
          <w:tcPr>
            <w:tcW w:w="9198" w:type="dxa"/>
            <w:vAlign w:val="top"/>
          </w:tcPr>
          <w:p>
            <w:pPr>
              <w:spacing w:line="240" w:lineRule="exact"/>
              <w:ind w:left="100" w:hanging="105" w:hangingChars="50"/>
              <w:rPr>
                <w:b/>
                <w:color w:val="000000" w:themeColor="text1"/>
                <w:sz w:val="21"/>
                <w:szCs w:val="21"/>
              </w:rPr>
            </w:pPr>
            <w:r>
              <w:rPr>
                <w:rFonts w:hint="eastAsia"/>
                <w:b/>
                <w:color w:val="000000" w:themeColor="text1"/>
                <w:sz w:val="21"/>
                <w:szCs w:val="21"/>
              </w:rPr>
              <w:t>2.顾客满意</w:t>
            </w:r>
          </w:p>
          <w:p>
            <w:pPr>
              <w:spacing w:line="240" w:lineRule="exact"/>
              <w:ind w:left="120" w:leftChars="50" w:firstLine="315" w:firstLineChars="150"/>
              <w:rPr>
                <w:rFonts w:ascii="Times New Roman" w:hAnsi="Times New Roman" w:eastAsia="宋体" w:cs="Times New Roman"/>
                <w:b/>
                <w:color w:val="000000" w:themeColor="text1"/>
                <w:kern w:val="2"/>
                <w:sz w:val="21"/>
                <w:szCs w:val="21"/>
                <w:lang w:val="en-US" w:eastAsia="zh-CN" w:bidi="ar-SA"/>
              </w:rPr>
            </w:pPr>
            <w:r>
              <w:rPr>
                <w:rFonts w:hint="eastAsia" w:ascii="宋体" w:hAnsi="宋体" w:cs="宋体"/>
                <w:color w:val="000000"/>
                <w:sz w:val="21"/>
                <w:szCs w:val="21"/>
              </w:rPr>
              <w:t>公司建立了顾客满意度监视和测量控</w:t>
            </w:r>
            <w:r>
              <w:rPr>
                <w:rFonts w:hint="eastAsia" w:ascii="宋体" w:hAnsi="宋体" w:cs="宋体"/>
                <w:color w:val="000000" w:themeColor="text1"/>
                <w:sz w:val="21"/>
                <w:szCs w:val="21"/>
                <w14:textFill>
                  <w14:solidFill>
                    <w14:schemeClr w14:val="tx1"/>
                  </w14:solidFill>
                </w14:textFill>
              </w:rPr>
              <w:t>制程序，对顾客投诉处理及顾客满意度评价做了明确的规定，并按规</w:t>
            </w:r>
            <w:r>
              <w:rPr>
                <w:rFonts w:hint="eastAsia" w:ascii="宋体" w:hAnsi="宋体" w:cs="宋体"/>
                <w:color w:val="000000" w:themeColor="text1"/>
                <w:sz w:val="21"/>
                <w:szCs w:val="21"/>
                <w:highlight w:val="none"/>
                <w14:textFill>
                  <w14:solidFill>
                    <w14:schemeClr w14:val="tx1"/>
                  </w14:solidFill>
                </w14:textFill>
              </w:rPr>
              <w:t>定对顾客反馈及时处理，但在顾客反馈信息的利用上不够，需要改善。近年来未发生重大顾客投诉和产品质量事故。顾客满意度调查按规定实施，20</w:t>
            </w:r>
            <w:r>
              <w:rPr>
                <w:rFonts w:hint="eastAsia" w:ascii="宋体" w:hAnsi="宋体" w:cs="宋体"/>
                <w:color w:val="000000" w:themeColor="text1"/>
                <w:sz w:val="21"/>
                <w:szCs w:val="21"/>
                <w:highlight w:val="none"/>
                <w:lang w:val="en-US" w:eastAsia="zh-CN"/>
                <w14:textFill>
                  <w14:solidFill>
                    <w14:schemeClr w14:val="tx1"/>
                  </w14:solidFill>
                </w14:textFill>
              </w:rPr>
              <w:t>20</w:t>
            </w:r>
            <w:r>
              <w:rPr>
                <w:rFonts w:hint="eastAsia" w:ascii="宋体" w:hAnsi="宋体" w:cs="宋体"/>
                <w:color w:val="000000" w:themeColor="text1"/>
                <w:sz w:val="21"/>
                <w:szCs w:val="21"/>
                <w:highlight w:val="none"/>
                <w14:textFill>
                  <w14:solidFill>
                    <w14:schemeClr w14:val="tx1"/>
                  </w14:solidFill>
                </w14:textFill>
              </w:rPr>
              <w:t>年</w:t>
            </w:r>
            <w:r>
              <w:rPr>
                <w:rFonts w:hint="eastAsia" w:ascii="宋体" w:hAnsi="宋体" w:cs="宋体"/>
                <w:color w:val="000000" w:themeColor="text1"/>
                <w:sz w:val="21"/>
                <w:szCs w:val="21"/>
                <w:highlight w:val="none"/>
                <w:lang w:val="en-US" w:eastAsia="zh-CN"/>
                <w14:textFill>
                  <w14:solidFill>
                    <w14:schemeClr w14:val="tx1"/>
                  </w14:solidFill>
                </w14:textFill>
              </w:rPr>
              <w:t>4</w:t>
            </w:r>
            <w:r>
              <w:rPr>
                <w:rFonts w:hint="eastAsia" w:ascii="宋体" w:hAnsi="宋体" w:cs="宋体"/>
                <w:color w:val="000000" w:themeColor="text1"/>
                <w:sz w:val="21"/>
                <w:szCs w:val="21"/>
                <w:highlight w:val="none"/>
                <w14:textFill>
                  <w14:solidFill>
                    <w14:schemeClr w14:val="tx1"/>
                  </w14:solidFill>
                </w14:textFill>
              </w:rPr>
              <w:t>月实施，满意度评价9</w:t>
            </w:r>
            <w:r>
              <w:rPr>
                <w:rFonts w:hint="eastAsia" w:ascii="宋体" w:hAnsi="宋体" w:cs="宋体"/>
                <w:color w:val="000000" w:themeColor="text1"/>
                <w:sz w:val="21"/>
                <w:szCs w:val="21"/>
                <w:highlight w:val="none"/>
                <w:lang w:val="en-US" w:eastAsia="zh-CN"/>
                <w14:textFill>
                  <w14:solidFill>
                    <w14:schemeClr w14:val="tx1"/>
                  </w14:solidFill>
                </w14:textFill>
              </w:rPr>
              <w:t>5</w:t>
            </w:r>
            <w:r>
              <w:rPr>
                <w:rFonts w:hint="eastAsia" w:ascii="宋体" w:hAnsi="宋体" w:cs="宋体"/>
                <w:color w:val="000000" w:themeColor="text1"/>
                <w:sz w:val="21"/>
                <w:szCs w:val="21"/>
                <w:highlight w:val="none"/>
                <w14:textFill>
                  <w14:solidFill>
                    <w14:schemeClr w14:val="tx1"/>
                  </w14:solidFill>
                </w14:textFill>
              </w:rPr>
              <w:t>分，总体实现了顾客满意度的质量目标要求。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4" w:hRule="atLeast"/>
          <w:jc w:val="center"/>
        </w:trPr>
        <w:tc>
          <w:tcPr>
            <w:tcW w:w="720" w:type="dxa"/>
            <w:vMerge w:val="continue"/>
            <w:textDirection w:val="tbRlV"/>
            <w:vAlign w:val="center"/>
          </w:tcPr>
          <w:p>
            <w:pPr>
              <w:spacing w:line="240" w:lineRule="exact"/>
              <w:ind w:left="113" w:right="113"/>
              <w:jc w:val="center"/>
              <w:rPr>
                <w:b/>
                <w:sz w:val="21"/>
                <w:szCs w:val="21"/>
              </w:rPr>
            </w:pPr>
          </w:p>
        </w:tc>
        <w:tc>
          <w:tcPr>
            <w:tcW w:w="9198" w:type="dxa"/>
            <w:vAlign w:val="top"/>
          </w:tcPr>
          <w:p>
            <w:pPr>
              <w:spacing w:line="240" w:lineRule="exact"/>
              <w:rPr>
                <w:b/>
                <w:color w:val="000000" w:themeColor="text1"/>
                <w:sz w:val="21"/>
                <w:szCs w:val="21"/>
              </w:rPr>
            </w:pPr>
            <w:r>
              <w:rPr>
                <w:rFonts w:hint="eastAsia"/>
                <w:b/>
                <w:color w:val="000000" w:themeColor="text1"/>
                <w:sz w:val="21"/>
                <w:szCs w:val="21"/>
              </w:rPr>
              <w:t>3. 内审（包括内审策划审核方案中考虑拟审核的过程和区域的状况和重要性）</w:t>
            </w:r>
          </w:p>
          <w:p>
            <w:pPr>
              <w:tabs>
                <w:tab w:val="right" w:pos="9332"/>
              </w:tabs>
              <w:spacing w:line="440" w:lineRule="exact"/>
              <w:rPr>
                <w:rFonts w:ascii="Times New Roman" w:hAnsi="Times New Roman" w:eastAsia="宋体" w:cs="Times New Roman"/>
                <w:b/>
                <w:color w:val="FF0000"/>
                <w:kern w:val="2"/>
                <w:sz w:val="21"/>
                <w:szCs w:val="21"/>
                <w:lang w:val="en-US" w:eastAsia="zh-CN" w:bidi="ar-SA"/>
              </w:rPr>
            </w:pPr>
            <w:r>
              <w:rPr>
                <w:rFonts w:hint="eastAsia" w:ascii="宋体" w:hAnsi="宋体"/>
                <w:sz w:val="21"/>
                <w:szCs w:val="21"/>
              </w:rPr>
              <w:t>建立有《内部审核控制程序》，规定了内审频次一年一次，内审时间：</w:t>
            </w:r>
            <w:r>
              <w:rPr>
                <w:rFonts w:hint="eastAsia" w:ascii="宋体" w:hAnsi="宋体"/>
                <w:sz w:val="21"/>
                <w:szCs w:val="21"/>
                <w:lang w:val="en-US" w:eastAsia="zh-CN"/>
              </w:rPr>
              <w:t>2020</w:t>
            </w:r>
            <w:r>
              <w:rPr>
                <w:rFonts w:hint="eastAsia" w:ascii="宋体" w:hAnsi="宋体"/>
                <w:sz w:val="21"/>
                <w:szCs w:val="21"/>
              </w:rPr>
              <w:t>年</w:t>
            </w:r>
            <w:r>
              <w:rPr>
                <w:rFonts w:hint="eastAsia" w:ascii="宋体" w:hAnsi="宋体"/>
                <w:sz w:val="21"/>
                <w:szCs w:val="21"/>
                <w:lang w:val="en-US" w:eastAsia="zh-CN"/>
              </w:rPr>
              <w:t>4</w:t>
            </w:r>
            <w:r>
              <w:rPr>
                <w:rFonts w:hint="eastAsia" w:ascii="宋体" w:hAnsi="宋体"/>
                <w:sz w:val="21"/>
                <w:szCs w:val="21"/>
              </w:rPr>
              <w:t>月</w:t>
            </w:r>
            <w:r>
              <w:rPr>
                <w:rFonts w:hint="eastAsia" w:ascii="宋体" w:hAnsi="宋体"/>
                <w:sz w:val="21"/>
                <w:szCs w:val="21"/>
                <w:lang w:val="en-US" w:eastAsia="zh-CN"/>
              </w:rPr>
              <w:t>20</w:t>
            </w:r>
            <w:r>
              <w:rPr>
                <w:rFonts w:hint="eastAsia" w:ascii="宋体" w:hAnsi="宋体"/>
                <w:sz w:val="21"/>
                <w:szCs w:val="21"/>
              </w:rPr>
              <w:t>日，拟定了审核实施表，明确了内审范围，内审人员经培训合格上岗，能力满足要求，未出现审核本部门情况，内审不符合项1项，涉及行政部</w:t>
            </w:r>
            <w:r>
              <w:rPr>
                <w:rFonts w:hint="eastAsia" w:ascii="宋体" w:hAnsi="宋体"/>
                <w:sz w:val="21"/>
                <w:szCs w:val="21"/>
                <w:lang w:val="en-US" w:eastAsia="zh-CN"/>
              </w:rPr>
              <w:t>QES7</w:t>
            </w:r>
            <w:r>
              <w:rPr>
                <w:rFonts w:hint="eastAsia" w:ascii="宋体" w:hAnsi="宋体"/>
                <w:sz w:val="21"/>
                <w:szCs w:val="21"/>
              </w:rPr>
              <w:t>.2条款查看组织于2020-6-5培训主题为“环境因素、危险源识别”的培训考核表，有参加培训人员签字，但未对培训的有效性进行评价。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1" w:hRule="atLeast"/>
          <w:jc w:val="center"/>
        </w:trPr>
        <w:tc>
          <w:tcPr>
            <w:tcW w:w="720" w:type="dxa"/>
            <w:vMerge w:val="continue"/>
            <w:textDirection w:val="tbRlV"/>
            <w:vAlign w:val="center"/>
          </w:tcPr>
          <w:p>
            <w:pPr>
              <w:spacing w:line="240" w:lineRule="exact"/>
              <w:ind w:left="113" w:right="113"/>
              <w:jc w:val="center"/>
              <w:rPr>
                <w:b/>
                <w:sz w:val="21"/>
                <w:szCs w:val="21"/>
              </w:rPr>
            </w:pPr>
          </w:p>
        </w:tc>
        <w:tc>
          <w:tcPr>
            <w:tcW w:w="9198" w:type="dxa"/>
            <w:vAlign w:val="top"/>
          </w:tcPr>
          <w:p>
            <w:pPr>
              <w:spacing w:line="240" w:lineRule="exact"/>
              <w:rPr>
                <w:b/>
                <w:color w:val="000000" w:themeColor="text1"/>
                <w:sz w:val="21"/>
                <w:szCs w:val="21"/>
              </w:rPr>
            </w:pPr>
            <w:r>
              <w:rPr>
                <w:rFonts w:hint="eastAsia"/>
                <w:b/>
                <w:color w:val="000000" w:themeColor="text1"/>
                <w:sz w:val="21"/>
                <w:szCs w:val="21"/>
              </w:rPr>
              <w:t>4.管理评审（管理评审体系变更需求，纠正和预防措施、体系有效性等）</w:t>
            </w:r>
          </w:p>
          <w:p>
            <w:pPr>
              <w:spacing w:line="240" w:lineRule="exact"/>
              <w:rPr>
                <w:rFonts w:ascii="Times New Roman" w:hAnsi="Times New Roman" w:eastAsia="宋体" w:cs="Times New Roman"/>
                <w:b/>
                <w:color w:val="000000" w:themeColor="text1"/>
                <w:kern w:val="2"/>
                <w:sz w:val="21"/>
                <w:szCs w:val="21"/>
                <w:lang w:val="en-US" w:eastAsia="zh-CN" w:bidi="ar-SA"/>
              </w:rPr>
            </w:pPr>
            <w:r>
              <w:rPr>
                <w:rFonts w:hint="eastAsia" w:ascii="宋体" w:hAnsi="宋体" w:cs="宋体"/>
                <w:color w:val="000000" w:themeColor="text1"/>
                <w:sz w:val="21"/>
                <w:szCs w:val="21"/>
              </w:rPr>
              <w:t>管理评审频次为一年一次、本次管理评审于</w:t>
            </w:r>
            <w:r>
              <w:rPr>
                <w:rFonts w:hint="eastAsia" w:ascii="宋体" w:hAnsi="宋体"/>
                <w:color w:val="000000" w:themeColor="text1"/>
                <w:sz w:val="21"/>
                <w:szCs w:val="21"/>
              </w:rPr>
              <w:t>2</w:t>
            </w:r>
            <w:r>
              <w:rPr>
                <w:rFonts w:hint="eastAsia" w:ascii="宋体" w:hAnsi="宋体"/>
                <w:color w:val="000000" w:themeColor="text1"/>
                <w:sz w:val="21"/>
                <w:szCs w:val="21"/>
                <w:lang w:val="en-US" w:eastAsia="zh-CN"/>
              </w:rPr>
              <w:t>020</w:t>
            </w:r>
            <w:r>
              <w:rPr>
                <w:rFonts w:hint="eastAsia" w:ascii="宋体" w:hAnsi="宋体"/>
                <w:color w:val="000000" w:themeColor="text1"/>
                <w:sz w:val="21"/>
                <w:szCs w:val="21"/>
              </w:rPr>
              <w:t>年</w:t>
            </w:r>
            <w:r>
              <w:rPr>
                <w:rFonts w:hint="eastAsia" w:ascii="宋体" w:hAnsi="宋体"/>
                <w:color w:val="000000" w:themeColor="text1"/>
                <w:sz w:val="21"/>
                <w:szCs w:val="21"/>
                <w:lang w:val="en-US" w:eastAsia="zh-CN"/>
              </w:rPr>
              <w:t>5</w:t>
            </w:r>
            <w:r>
              <w:rPr>
                <w:rFonts w:hint="eastAsia" w:ascii="宋体" w:hAnsi="宋体"/>
                <w:color w:val="000000" w:themeColor="text1"/>
                <w:sz w:val="21"/>
                <w:szCs w:val="21"/>
              </w:rPr>
              <w:t>月</w:t>
            </w:r>
            <w:r>
              <w:rPr>
                <w:rFonts w:hint="eastAsia" w:ascii="宋体" w:hAnsi="宋体"/>
                <w:color w:val="000000" w:themeColor="text1"/>
                <w:sz w:val="21"/>
                <w:szCs w:val="21"/>
                <w:lang w:val="en-US" w:eastAsia="zh-CN"/>
              </w:rPr>
              <w:t>30</w:t>
            </w:r>
            <w:r>
              <w:rPr>
                <w:rFonts w:hint="eastAsia" w:ascii="宋体" w:hAnsi="宋体"/>
                <w:color w:val="000000" w:themeColor="text1"/>
                <w:sz w:val="21"/>
                <w:szCs w:val="21"/>
              </w:rPr>
              <w:t>日</w:t>
            </w:r>
            <w:r>
              <w:rPr>
                <w:rFonts w:hint="eastAsia" w:ascii="宋体" w:hAnsi="宋体" w:cs="宋体"/>
                <w:color w:val="000000" w:themeColor="text1"/>
                <w:sz w:val="21"/>
                <w:szCs w:val="21"/>
              </w:rPr>
              <w:t>由总经理主持完成、提供主要输入材料有各部门总结，输入信息基本充分和满足要求。输出见“管理评审报告”, 做出了管理体系基本适宜、充分和有效的评审结论。管理评审的输出不具体，需要改善</w:t>
            </w:r>
            <w:r>
              <w:rPr>
                <w:rFonts w:hint="eastAsia" w:ascii="宋体" w:hAnsi="宋体" w:cs="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4" w:hRule="atLeast"/>
          <w:jc w:val="center"/>
        </w:trPr>
        <w:tc>
          <w:tcPr>
            <w:tcW w:w="720" w:type="dxa"/>
            <w:vMerge w:val="continue"/>
            <w:vAlign w:val="center"/>
          </w:tcPr>
          <w:p>
            <w:pPr>
              <w:spacing w:line="240" w:lineRule="exact"/>
              <w:jc w:val="center"/>
              <w:rPr>
                <w:b/>
                <w:sz w:val="21"/>
                <w:szCs w:val="21"/>
              </w:rPr>
            </w:pPr>
          </w:p>
        </w:tc>
        <w:tc>
          <w:tcPr>
            <w:tcW w:w="9198" w:type="dxa"/>
            <w:vAlign w:val="top"/>
          </w:tcPr>
          <w:p>
            <w:pPr>
              <w:spacing w:line="240" w:lineRule="exact"/>
              <w:rPr>
                <w:b/>
                <w:color w:val="000000" w:themeColor="text1"/>
                <w:sz w:val="21"/>
                <w:szCs w:val="21"/>
              </w:rPr>
            </w:pPr>
            <w:r>
              <w:rPr>
                <w:rFonts w:hint="eastAsia"/>
                <w:b/>
                <w:color w:val="000000" w:themeColor="text1"/>
                <w:sz w:val="21"/>
                <w:szCs w:val="21"/>
              </w:rPr>
              <w:t>5.  EMS是否按规定对主要污染物（污水、废气、噪声、废渣等）及排放实施了例行的监视或测量，结果是否满足相关要求？</w:t>
            </w:r>
          </w:p>
          <w:p>
            <w:pPr>
              <w:spacing w:line="240" w:lineRule="exact"/>
              <w:ind w:firstLine="210" w:firstLineChars="100"/>
              <w:rPr>
                <w:rFonts w:ascii="Times New Roman" w:hAnsi="Times New Roman" w:eastAsia="宋体" w:cs="Times New Roman"/>
                <w:kern w:val="2"/>
                <w:sz w:val="21"/>
                <w:szCs w:val="21"/>
                <w:lang w:val="en-US" w:eastAsia="zh-CN" w:bidi="ar-SA"/>
              </w:rPr>
            </w:pPr>
            <w:r>
              <w:rPr>
                <w:rFonts w:hint="eastAsia"/>
                <w:sz w:val="21"/>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3" w:hRule="atLeast"/>
          <w:jc w:val="center"/>
        </w:trPr>
        <w:tc>
          <w:tcPr>
            <w:tcW w:w="720" w:type="dxa"/>
            <w:vMerge w:val="continue"/>
            <w:vAlign w:val="center"/>
          </w:tcPr>
          <w:p>
            <w:pPr>
              <w:spacing w:line="240" w:lineRule="exact"/>
              <w:jc w:val="center"/>
              <w:rPr>
                <w:b/>
                <w:sz w:val="21"/>
                <w:szCs w:val="21"/>
              </w:rPr>
            </w:pPr>
          </w:p>
        </w:tc>
        <w:tc>
          <w:tcPr>
            <w:tcW w:w="9198" w:type="dxa"/>
            <w:vAlign w:val="top"/>
          </w:tcPr>
          <w:p>
            <w:pPr>
              <w:spacing w:line="240" w:lineRule="exact"/>
              <w:rPr>
                <w:b/>
                <w:color w:val="000000" w:themeColor="text1"/>
                <w:sz w:val="21"/>
                <w:szCs w:val="21"/>
              </w:rPr>
            </w:pPr>
            <w:r>
              <w:rPr>
                <w:rFonts w:hint="eastAsia"/>
                <w:b/>
                <w:color w:val="000000" w:themeColor="text1"/>
                <w:sz w:val="21"/>
                <w:szCs w:val="21"/>
              </w:rPr>
              <w:t xml:space="preserve">6.  </w:t>
            </w:r>
            <w:r>
              <w:rPr>
                <w:b/>
                <w:color w:val="000000" w:themeColor="text1"/>
                <w:sz w:val="21"/>
                <w:szCs w:val="21"/>
              </w:rPr>
              <w:t>EMS</w:t>
            </w:r>
            <w:r>
              <w:rPr>
                <w:rFonts w:hint="eastAsia"/>
                <w:b/>
                <w:color w:val="000000" w:themeColor="text1"/>
                <w:sz w:val="21"/>
                <w:szCs w:val="21"/>
              </w:rPr>
              <w:t xml:space="preserve">国家/地方环保部门监测结果、新改扩建项目符合环评报告、三同时验收报告要求情况及措施 </w:t>
            </w:r>
          </w:p>
          <w:p>
            <w:pPr>
              <w:spacing w:line="240" w:lineRule="exact"/>
              <w:rPr>
                <w:rFonts w:ascii="Times New Roman" w:hAnsi="Times New Roman" w:eastAsia="宋体" w:cs="Times New Roman"/>
                <w:b/>
                <w:kern w:val="2"/>
                <w:sz w:val="21"/>
                <w:szCs w:val="21"/>
                <w:lang w:val="en-US" w:eastAsia="zh-CN" w:bidi="ar-SA"/>
              </w:rPr>
            </w:pPr>
            <w:r>
              <w:rPr>
                <w:rFonts w:hint="eastAsia"/>
                <w:sz w:val="21"/>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3" w:hRule="atLeast"/>
          <w:jc w:val="center"/>
        </w:trPr>
        <w:tc>
          <w:tcPr>
            <w:tcW w:w="720" w:type="dxa"/>
            <w:vMerge w:val="continue"/>
            <w:vAlign w:val="center"/>
          </w:tcPr>
          <w:p>
            <w:pPr>
              <w:spacing w:line="240" w:lineRule="exact"/>
              <w:jc w:val="center"/>
              <w:rPr>
                <w:b/>
                <w:sz w:val="21"/>
                <w:szCs w:val="21"/>
              </w:rPr>
            </w:pPr>
          </w:p>
        </w:tc>
        <w:tc>
          <w:tcPr>
            <w:tcW w:w="9198" w:type="dxa"/>
            <w:vAlign w:val="top"/>
          </w:tcPr>
          <w:p>
            <w:pPr>
              <w:spacing w:line="300" w:lineRule="exact"/>
              <w:rPr>
                <w:b/>
                <w:color w:val="000000" w:themeColor="text1"/>
                <w:sz w:val="21"/>
                <w:szCs w:val="21"/>
              </w:rPr>
            </w:pPr>
            <w:r>
              <w:rPr>
                <w:rFonts w:hint="eastAsia"/>
                <w:b/>
                <w:color w:val="000000" w:themeColor="text1"/>
                <w:sz w:val="21"/>
                <w:szCs w:val="21"/>
              </w:rPr>
              <w:t>7. OHSMS是否按规定对职业健康安全项目进行定期测量，结果是否满足相关要求：</w:t>
            </w:r>
          </w:p>
          <w:p>
            <w:pPr>
              <w:spacing w:line="240" w:lineRule="exact"/>
              <w:rPr>
                <w:rFonts w:ascii="Times New Roman" w:hAnsi="Times New Roman" w:eastAsia="宋体" w:cs="Times New Roman"/>
                <w:b/>
                <w:color w:val="000000" w:themeColor="text1"/>
                <w:kern w:val="2"/>
                <w:sz w:val="21"/>
                <w:szCs w:val="21"/>
                <w:lang w:val="en-US" w:eastAsia="zh-CN" w:bidi="ar-SA"/>
              </w:rPr>
            </w:pPr>
            <w:r>
              <w:rPr>
                <w:rFonts w:hint="eastAsia"/>
                <w:sz w:val="21"/>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720" w:type="dxa"/>
            <w:vMerge w:val="continue"/>
            <w:vAlign w:val="center"/>
          </w:tcPr>
          <w:p>
            <w:pPr>
              <w:spacing w:line="240" w:lineRule="exact"/>
              <w:jc w:val="center"/>
              <w:rPr>
                <w:b/>
                <w:sz w:val="21"/>
                <w:szCs w:val="21"/>
              </w:rPr>
            </w:pPr>
          </w:p>
        </w:tc>
        <w:tc>
          <w:tcPr>
            <w:tcW w:w="9198" w:type="dxa"/>
            <w:vAlign w:val="top"/>
          </w:tcPr>
          <w:p>
            <w:pPr>
              <w:spacing w:line="240" w:lineRule="exact"/>
              <w:rPr>
                <w:b/>
                <w:color w:val="000000" w:themeColor="text1"/>
                <w:sz w:val="21"/>
                <w:szCs w:val="21"/>
              </w:rPr>
            </w:pPr>
            <w:r>
              <w:rPr>
                <w:rFonts w:hint="eastAsia"/>
                <w:b/>
                <w:color w:val="000000" w:themeColor="text1"/>
                <w:sz w:val="21"/>
                <w:szCs w:val="21"/>
              </w:rPr>
              <w:t>8.OHSMS国家/地方职业健康安全部门监督检查情况及措施</w:t>
            </w:r>
          </w:p>
          <w:p>
            <w:pPr>
              <w:spacing w:line="240" w:lineRule="exact"/>
              <w:rPr>
                <w:rFonts w:ascii="Times New Roman" w:hAnsi="Times New Roman" w:eastAsia="宋体" w:cs="Times New Roman"/>
                <w:b/>
                <w:kern w:val="2"/>
                <w:sz w:val="21"/>
                <w:szCs w:val="21"/>
                <w:lang w:val="en-US" w:eastAsia="zh-CN" w:bidi="ar-SA"/>
              </w:rPr>
            </w:pPr>
            <w:r>
              <w:rPr>
                <w:rFonts w:hint="eastAsia"/>
                <w:b/>
                <w:sz w:val="21"/>
                <w:szCs w:val="21"/>
              </w:rPr>
              <w:t>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720" w:type="dxa"/>
            <w:vMerge w:val="continue"/>
            <w:vAlign w:val="center"/>
          </w:tcPr>
          <w:p>
            <w:pPr>
              <w:spacing w:line="240" w:lineRule="exact"/>
              <w:jc w:val="center"/>
              <w:rPr>
                <w:b/>
                <w:sz w:val="21"/>
                <w:szCs w:val="21"/>
              </w:rPr>
            </w:pPr>
          </w:p>
        </w:tc>
        <w:tc>
          <w:tcPr>
            <w:tcW w:w="9198" w:type="dxa"/>
            <w:vAlign w:val="top"/>
          </w:tcPr>
          <w:p>
            <w:pPr>
              <w:widowControl/>
              <w:spacing w:line="240" w:lineRule="exact"/>
              <w:rPr>
                <w:b/>
                <w:color w:val="000000" w:themeColor="text1"/>
                <w:sz w:val="21"/>
                <w:szCs w:val="21"/>
              </w:rPr>
            </w:pPr>
            <w:r>
              <w:rPr>
                <w:rFonts w:hint="eastAsia"/>
                <w:b/>
                <w:color w:val="000000" w:themeColor="text1"/>
                <w:sz w:val="21"/>
                <w:szCs w:val="21"/>
              </w:rPr>
              <w:t>9. 其他能够标明组织绩效、信誉的证据/信息：</w:t>
            </w:r>
          </w:p>
          <w:p>
            <w:pPr>
              <w:widowControl/>
              <w:spacing w:line="240" w:lineRule="exact"/>
              <w:rPr>
                <w:rFonts w:ascii="Times New Roman" w:hAnsi="Times New Roman" w:eastAsia="宋体" w:cs="Times New Roman"/>
                <w:b/>
                <w:kern w:val="2"/>
                <w:sz w:val="21"/>
                <w:szCs w:val="21"/>
                <w:lang w:val="en-US" w:eastAsia="zh-CN" w:bidi="ar-SA"/>
              </w:rPr>
            </w:pPr>
            <w:r>
              <w:rPr>
                <w:rFonts w:hint="eastAsia"/>
                <w:b/>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 w:val="21"/>
                <w:szCs w:val="21"/>
              </w:rPr>
            </w:pPr>
            <w:r>
              <w:rPr>
                <w:rFonts w:hint="eastAsia" w:ascii="宋体" w:hAnsi="宋体"/>
                <w:b/>
                <w:sz w:val="21"/>
                <w:szCs w:val="21"/>
              </w:rPr>
              <w:t>(五)持</w:t>
            </w:r>
          </w:p>
          <w:p>
            <w:pPr>
              <w:spacing w:line="240" w:lineRule="exact"/>
              <w:ind w:left="113" w:right="113"/>
              <w:jc w:val="center"/>
              <w:rPr>
                <w:rFonts w:ascii="宋体" w:hAnsi="宋体"/>
                <w:b/>
                <w:sz w:val="21"/>
                <w:szCs w:val="21"/>
              </w:rPr>
            </w:pPr>
            <w:r>
              <w:rPr>
                <w:rFonts w:hint="eastAsia" w:ascii="宋体" w:hAnsi="宋体"/>
                <w:b/>
                <w:sz w:val="21"/>
                <w:szCs w:val="21"/>
              </w:rPr>
              <w:t>续</w:t>
            </w:r>
          </w:p>
          <w:p>
            <w:pPr>
              <w:spacing w:line="240" w:lineRule="exact"/>
              <w:ind w:left="113" w:right="113"/>
              <w:jc w:val="center"/>
              <w:rPr>
                <w:rFonts w:ascii="宋体" w:hAnsi="宋体"/>
                <w:b/>
                <w:sz w:val="21"/>
                <w:szCs w:val="21"/>
              </w:rPr>
            </w:pPr>
            <w:r>
              <w:rPr>
                <w:rFonts w:hint="eastAsia" w:ascii="宋体" w:hAnsi="宋体"/>
                <w:b/>
                <w:sz w:val="21"/>
                <w:szCs w:val="21"/>
              </w:rPr>
              <w:t>改</w:t>
            </w:r>
          </w:p>
          <w:p>
            <w:pPr>
              <w:spacing w:line="240" w:lineRule="exact"/>
              <w:ind w:left="113" w:right="113"/>
              <w:jc w:val="center"/>
              <w:rPr>
                <w:b/>
                <w:sz w:val="21"/>
                <w:szCs w:val="21"/>
              </w:rPr>
            </w:pPr>
            <w:r>
              <w:rPr>
                <w:rFonts w:hint="eastAsia" w:ascii="宋体" w:hAnsi="宋体"/>
                <w:b/>
                <w:sz w:val="21"/>
                <w:szCs w:val="21"/>
              </w:rPr>
              <w:t>进</w:t>
            </w:r>
          </w:p>
        </w:tc>
        <w:tc>
          <w:tcPr>
            <w:tcW w:w="9198" w:type="dxa"/>
          </w:tcPr>
          <w:p>
            <w:pPr>
              <w:spacing w:line="24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p>
          <w:p>
            <w:pPr>
              <w:spacing w:line="400" w:lineRule="exact"/>
              <w:ind w:firstLine="420" w:firstLineChars="200"/>
              <w:rPr>
                <w:rFonts w:ascii="宋体" w:hAnsi="宋体"/>
                <w:b/>
                <w:sz w:val="21"/>
                <w:szCs w:val="21"/>
              </w:rPr>
            </w:pPr>
            <w:r>
              <w:rPr>
                <w:rFonts w:hint="eastAsia" w:ascii="宋体" w:hAnsi="宋体" w:cs="宋体"/>
                <w:color w:val="000000" w:themeColor="text1"/>
                <w:sz w:val="21"/>
                <w:szCs w:val="21"/>
              </w:rPr>
              <w:t>公司明确通过对内、外审核结果、管理评审输出、监测和测量等活动中识别出</w:t>
            </w:r>
            <w:r>
              <w:rPr>
                <w:rFonts w:hint="eastAsia" w:ascii="宋体" w:hAnsi="宋体"/>
                <w:color w:val="000000" w:themeColor="text1"/>
                <w:sz w:val="21"/>
                <w:szCs w:val="21"/>
              </w:rPr>
              <w:t>在产品/服务、过程、管理体系等方面</w:t>
            </w:r>
            <w:r>
              <w:rPr>
                <w:rFonts w:hint="eastAsia" w:ascii="宋体" w:hAnsi="宋体" w:cs="宋体"/>
                <w:color w:val="000000" w:themeColor="text1"/>
                <w:sz w:val="21"/>
                <w:szCs w:val="2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 w:val="21"/>
                <w:szCs w:val="21"/>
              </w:rPr>
              <w:t>纠正措施的有效性需要改善。</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720" w:type="dxa"/>
            <w:vMerge w:val="continue"/>
            <w:vAlign w:val="center"/>
          </w:tcPr>
          <w:p>
            <w:pPr>
              <w:spacing w:line="240" w:lineRule="exact"/>
              <w:jc w:val="center"/>
              <w:rPr>
                <w:b/>
                <w:sz w:val="21"/>
                <w:szCs w:val="21"/>
              </w:rPr>
            </w:pPr>
          </w:p>
        </w:tc>
        <w:tc>
          <w:tcPr>
            <w:tcW w:w="9198" w:type="dxa"/>
          </w:tcPr>
          <w:p>
            <w:pPr>
              <w:spacing w:line="240" w:lineRule="exact"/>
              <w:rPr>
                <w:rFonts w:ascii="宋体" w:hAnsi="宋体"/>
                <w:b/>
                <w:sz w:val="21"/>
                <w:szCs w:val="21"/>
              </w:rPr>
            </w:pPr>
            <w:r>
              <w:rPr>
                <w:rFonts w:ascii="宋体" w:hAnsi="宋体"/>
                <w:b/>
                <w:sz w:val="21"/>
                <w:szCs w:val="21"/>
              </w:rPr>
              <w:t>2.</w:t>
            </w: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jc w:val="center"/>
        </w:trPr>
        <w:tc>
          <w:tcPr>
            <w:tcW w:w="720" w:type="dxa"/>
            <w:vMerge w:val="continue"/>
            <w:vAlign w:val="center"/>
          </w:tcPr>
          <w:p>
            <w:pPr>
              <w:spacing w:line="240" w:lineRule="exact"/>
              <w:jc w:val="center"/>
              <w:rPr>
                <w:b/>
                <w:sz w:val="21"/>
                <w:szCs w:val="21"/>
              </w:rPr>
            </w:pPr>
          </w:p>
        </w:tc>
        <w:tc>
          <w:tcPr>
            <w:tcW w:w="9198" w:type="dxa"/>
          </w:tcPr>
          <w:p>
            <w:pPr>
              <w:numPr>
                <w:ilvl w:val="0"/>
                <w:numId w:val="3"/>
              </w:numPr>
              <w:spacing w:line="240" w:lineRule="exact"/>
              <w:rPr>
                <w:rFonts w:hint="eastAsia" w:ascii="宋体" w:hAnsi="宋体"/>
                <w:b/>
                <w:sz w:val="21"/>
                <w:szCs w:val="21"/>
              </w:rPr>
            </w:pPr>
            <w:r>
              <w:rPr>
                <w:rFonts w:hint="eastAsia" w:ascii="宋体" w:hAnsi="宋体"/>
                <w:b/>
                <w:sz w:val="21"/>
                <w:szCs w:val="21"/>
              </w:rPr>
              <w:t>创新情况</w:t>
            </w:r>
          </w:p>
          <w:p>
            <w:pPr>
              <w:numPr>
                <w:ilvl w:val="0"/>
                <w:numId w:val="0"/>
              </w:num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jc w:val="center"/>
        </w:trPr>
        <w:tc>
          <w:tcPr>
            <w:tcW w:w="720" w:type="dxa"/>
            <w:vMerge w:val="continue"/>
            <w:vAlign w:val="center"/>
          </w:tcPr>
          <w:p>
            <w:pPr>
              <w:spacing w:line="240" w:lineRule="exact"/>
              <w:jc w:val="center"/>
              <w:rPr>
                <w:b/>
                <w:sz w:val="21"/>
                <w:szCs w:val="21"/>
              </w:rPr>
            </w:pPr>
          </w:p>
        </w:tc>
        <w:tc>
          <w:tcPr>
            <w:tcW w:w="9198" w:type="dxa"/>
          </w:tcPr>
          <w:p>
            <w:pPr>
              <w:numPr>
                <w:ilvl w:val="0"/>
                <w:numId w:val="3"/>
              </w:numPr>
              <w:spacing w:line="240" w:lineRule="exact"/>
              <w:ind w:left="0" w:leftChars="0" w:firstLine="0" w:firstLineChars="0"/>
              <w:rPr>
                <w:rFonts w:hint="eastAsia" w:ascii="宋体" w:hAnsi="宋体"/>
                <w:b/>
                <w:sz w:val="21"/>
                <w:szCs w:val="21"/>
              </w:rPr>
            </w:pPr>
            <w:r>
              <w:rPr>
                <w:rFonts w:hint="eastAsia" w:ascii="宋体" w:hAnsi="宋体"/>
                <w:b/>
                <w:sz w:val="21"/>
                <w:szCs w:val="21"/>
              </w:rPr>
              <w:t>上次不符合的整改情况</w:t>
            </w:r>
          </w:p>
          <w:p>
            <w:pPr>
              <w:tabs>
                <w:tab w:val="center" w:pos="3169"/>
              </w:tabs>
              <w:spacing w:line="400" w:lineRule="exact"/>
              <w:jc w:val="left"/>
              <w:rPr>
                <w:rFonts w:hint="eastAsia" w:ascii="宋体" w:hAnsi="宋体"/>
                <w:b/>
                <w:sz w:val="21"/>
                <w:szCs w:val="21"/>
              </w:rPr>
            </w:pPr>
            <w:r>
              <w:rPr>
                <w:rFonts w:hint="eastAsia" w:ascii="宋体" w:hAnsi="宋体"/>
                <w:b/>
                <w:sz w:val="21"/>
                <w:szCs w:val="21"/>
                <w:lang w:eastAsia="zh-CN"/>
              </w:rPr>
              <w:t>上</w:t>
            </w:r>
            <w:r>
              <w:rPr>
                <w:rFonts w:hint="eastAsia"/>
                <w:b/>
                <w:sz w:val="21"/>
                <w:szCs w:val="21"/>
              </w:rPr>
              <w:t>次</w:t>
            </w:r>
            <w:r>
              <w:rPr>
                <w:rFonts w:hint="eastAsia" w:ascii="宋体" w:hAnsi="宋体"/>
                <w:b/>
                <w:sz w:val="21"/>
                <w:szCs w:val="21"/>
              </w:rPr>
              <w:t>不符合为</w:t>
            </w:r>
            <w:r>
              <w:rPr>
                <w:rFonts w:hint="eastAsia" w:ascii="宋体" w:hAnsi="宋体"/>
                <w:b/>
                <w:sz w:val="21"/>
                <w:szCs w:val="21"/>
                <w:lang w:val="en-US" w:eastAsia="zh-CN"/>
              </w:rPr>
              <w:t>客户服务部8.2.3</w:t>
            </w:r>
            <w:r>
              <w:rPr>
                <w:rFonts w:hint="eastAsia" w:ascii="宋体" w:hAnsi="宋体"/>
                <w:b/>
                <w:sz w:val="21"/>
                <w:szCs w:val="21"/>
              </w:rPr>
              <w:t>，经本次审核验证均整改且无类似不符合情况出现</w:t>
            </w:r>
          </w:p>
          <w:p>
            <w:pPr>
              <w:numPr>
                <w:ilvl w:val="0"/>
                <w:numId w:val="0"/>
              </w:numPr>
              <w:spacing w:line="240" w:lineRule="exact"/>
              <w:ind w:leftChars="0"/>
              <w:rPr>
                <w:rFonts w:hint="eastAsia" w:ascii="宋体" w:hAnsi="宋体" w:eastAsia="宋体"/>
                <w:b/>
                <w:sz w:val="21"/>
                <w:szCs w:val="21"/>
                <w:lang w:val="en-US" w:eastAsia="zh-CN"/>
              </w:rPr>
            </w:pP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hint="eastAsia" w:ascii="宋体" w:eastAsia="宋体"/>
          <w:b/>
          <w:szCs w:val="21"/>
          <w:lang w:val="en-US" w:eastAsia="zh-CN"/>
        </w:rPr>
      </w:pPr>
      <w:r>
        <w:rPr>
          <w:rFonts w:hint="eastAsia"/>
          <w:b/>
          <w:spacing w:val="-10"/>
          <w:szCs w:val="21"/>
          <w:lang w:eastAsia="zh-CN"/>
        </w:rPr>
        <w:t>■</w:t>
      </w:r>
      <w:r>
        <w:rPr>
          <w:rFonts w:hint="eastAsia" w:ascii="宋体" w:hAnsi="宋体"/>
          <w:b/>
          <w:szCs w:val="21"/>
        </w:rPr>
        <w:t>可能影响本次审核结论可靠性的因素：</w:t>
      </w:r>
      <w:r>
        <w:rPr>
          <w:rFonts w:hint="eastAsia" w:ascii="宋体" w:hAnsi="宋体"/>
          <w:b/>
          <w:szCs w:val="21"/>
          <w:lang w:val="en-US" w:eastAsia="zh-CN"/>
        </w:rPr>
        <w:t>无</w:t>
      </w:r>
    </w:p>
    <w:tbl>
      <w:tblPr>
        <w:tblStyle w:val="6"/>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lang w:eastAsia="zh-CN"/>
        </w:rPr>
        <w:t>■</w:t>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本次审核共开具不符合项报告</w:t>
      </w:r>
      <w:r>
        <w:rPr>
          <w:rFonts w:hint="eastAsia" w:ascii="宋体" w:hAnsi="宋体"/>
          <w:b/>
          <w:color w:val="000000" w:themeColor="text1"/>
          <w:szCs w:val="21"/>
          <w:lang w:val="en-US" w:eastAsia="zh-CN"/>
          <w14:textFill>
            <w14:solidFill>
              <w14:schemeClr w14:val="tx1"/>
            </w14:solidFill>
          </w14:textFill>
        </w:rPr>
        <w:t>1</w:t>
      </w:r>
      <w:r>
        <w:rPr>
          <w:rFonts w:hint="eastAsia" w:ascii="宋体" w:hAnsi="宋体"/>
          <w:b/>
          <w:color w:val="000000" w:themeColor="text1"/>
          <w:szCs w:val="21"/>
          <w14:textFill>
            <w14:solidFill>
              <w14:schemeClr w14:val="tx1"/>
            </w14:solidFill>
          </w14:textFill>
        </w:rPr>
        <w:t>项；其中</w:t>
      </w:r>
      <w:r>
        <w:rPr>
          <w:rFonts w:ascii="宋体" w:hAnsi="宋体"/>
          <w:b/>
          <w:color w:val="000000" w:themeColor="text1"/>
          <w:szCs w:val="21"/>
          <w14:textFill>
            <w14:solidFill>
              <w14:schemeClr w14:val="tx1"/>
            </w14:solidFill>
          </w14:textFill>
        </w:rPr>
        <w:pict>
          <v:line id="直接连接符 1" o:spid="_x0000_s2055" o:spt="20" style="position:absolute;left:0pt;margin-left:210pt;margin-top:16.2pt;height:0pt;width:0.05pt;z-index:251658240;mso-width-relative:page;mso-height-relative:page;" coordsize="21600,21600" o:allowincell="f">
            <v:path arrowok="t"/>
            <v:fill focussize="0,0"/>
            <v:stroke/>
            <v:imagedata o:title=""/>
            <o:lock v:ext="edit"/>
          </v:line>
        </w:pict>
      </w:r>
      <w:r>
        <w:rPr>
          <w:rFonts w:hint="eastAsia" w:ascii="宋体" w:hAnsi="宋体"/>
          <w:b/>
          <w:color w:val="000000" w:themeColor="text1"/>
          <w:szCs w:val="21"/>
          <w14:textFill>
            <w14:solidFill>
              <w14:schemeClr w14:val="tx1"/>
            </w14:solidFill>
          </w14:textFill>
        </w:rPr>
        <w:t>严重不符合</w:t>
      </w:r>
      <w:r>
        <w:rPr>
          <w:rFonts w:hint="eastAsia" w:ascii="宋体" w:hAnsi="宋体"/>
          <w:b/>
          <w:color w:val="000000" w:themeColor="text1"/>
          <w:szCs w:val="21"/>
          <w:lang w:val="en-US" w:eastAsia="zh-CN"/>
          <w14:textFill>
            <w14:solidFill>
              <w14:schemeClr w14:val="tx1"/>
            </w14:solidFill>
          </w14:textFill>
        </w:rPr>
        <w:t>0</w:t>
      </w:r>
      <w:r>
        <w:rPr>
          <w:rFonts w:hint="eastAsia" w:ascii="宋体" w:hAnsi="宋体"/>
          <w:b/>
          <w:color w:val="000000" w:themeColor="text1"/>
          <w:szCs w:val="21"/>
          <w14:textFill>
            <w14:solidFill>
              <w14:schemeClr w14:val="tx1"/>
            </w14:solidFill>
          </w14:textFill>
        </w:rPr>
        <w:t>项，一般不符合</w:t>
      </w:r>
      <w:r>
        <w:rPr>
          <w:rFonts w:hint="eastAsia" w:ascii="宋体" w:hAnsi="宋体"/>
          <w:b/>
          <w:color w:val="000000" w:themeColor="text1"/>
          <w:szCs w:val="21"/>
          <w:lang w:val="en-US" w:eastAsia="zh-CN"/>
          <w14:textFill>
            <w14:solidFill>
              <w14:schemeClr w14:val="tx1"/>
            </w14:solidFill>
          </w14:textFill>
        </w:rPr>
        <w:t>1</w:t>
      </w:r>
      <w:r>
        <w:rPr>
          <w:rFonts w:hint="eastAsia" w:ascii="宋体" w:hAnsi="宋体"/>
          <w:b/>
          <w:color w:val="000000" w:themeColor="text1"/>
          <w:szCs w:val="21"/>
          <w14:textFill>
            <w14:solidFill>
              <w14:schemeClr w14:val="tx1"/>
            </w14:solidFill>
          </w14:textFill>
        </w:rPr>
        <w:t>项，观察项</w:t>
      </w:r>
      <w:r>
        <w:rPr>
          <w:rFonts w:hint="eastAsia" w:ascii="宋体" w:hAnsi="宋体"/>
          <w:b/>
          <w:color w:val="000000" w:themeColor="text1"/>
          <w:szCs w:val="21"/>
          <w:lang w:val="en-US" w:eastAsia="zh-CN"/>
          <w14:textFill>
            <w14:solidFill>
              <w14:schemeClr w14:val="tx1"/>
            </w14:solidFill>
          </w14:textFill>
        </w:rPr>
        <w:t>0</w:t>
      </w:r>
      <w:r>
        <w:rPr>
          <w:rFonts w:hint="eastAsia" w:ascii="宋体" w:hAnsi="宋体"/>
          <w:b/>
          <w:color w:val="000000" w:themeColor="text1"/>
          <w:szCs w:val="21"/>
          <w14:textFill>
            <w14:solidFill>
              <w14:schemeClr w14:val="tx1"/>
            </w14:solidFill>
          </w14:textFill>
        </w:rPr>
        <w:t>项分布在</w:t>
      </w:r>
      <w:r>
        <w:rPr>
          <w:rFonts w:hint="eastAsia" w:ascii="宋体" w:hAnsi="宋体"/>
          <w:b/>
          <w:color w:val="000000" w:themeColor="text1"/>
          <w:szCs w:val="21"/>
          <w:lang w:val="en-US" w:eastAsia="zh-CN"/>
          <w14:textFill>
            <w14:solidFill>
              <w14:schemeClr w14:val="tx1"/>
            </w14:solidFill>
          </w14:textFill>
        </w:rPr>
        <w:t>行政部</w:t>
      </w:r>
      <w:r>
        <w:rPr>
          <w:rFonts w:hint="eastAsia" w:ascii="宋体" w:hAnsi="宋体"/>
          <w:b/>
          <w:color w:val="000000" w:themeColor="text1"/>
          <w:szCs w:val="21"/>
          <w14:textFill>
            <w14:solidFill>
              <w14:schemeClr w14:val="tx1"/>
            </w14:solidFill>
          </w14:textFill>
        </w:rPr>
        <w:t>部门</w:t>
      </w:r>
      <w:r>
        <w:rPr>
          <w:rFonts w:hint="eastAsia" w:ascii="宋体" w:hAnsi="宋体"/>
          <w:b/>
          <w:color w:val="000000" w:themeColor="text1"/>
          <w:szCs w:val="21"/>
          <w:lang w:val="en-US" w:eastAsia="zh-CN"/>
          <w14:textFill>
            <w14:solidFill>
              <w14:schemeClr w14:val="tx1"/>
            </w14:solidFill>
          </w14:textFill>
        </w:rPr>
        <w:t>7.2</w:t>
      </w:r>
      <w:r>
        <w:rPr>
          <w:rFonts w:hint="eastAsia" w:ascii="宋体" w:hAnsi="宋体"/>
          <w:b/>
          <w:color w:val="000000" w:themeColor="text1"/>
          <w:szCs w:val="21"/>
          <w14:textFill>
            <w14:solidFill>
              <w14:schemeClr w14:val="tx1"/>
            </w14:solidFill>
          </w14:textFill>
        </w:rPr>
        <w:t>条款，见不符合项分布表。（</w:t>
      </w:r>
      <w:r>
        <w:rPr>
          <w:rFonts w:ascii="宋体" w:hAnsi="宋体"/>
          <w:b/>
          <w:color w:val="000000" w:themeColor="text1"/>
          <w:szCs w:val="21"/>
          <w14:textFill>
            <w14:solidFill>
              <w14:schemeClr w14:val="tx1"/>
            </w14:solidFill>
          </w14:textFill>
        </w:rPr>
        <w:t>Q/J/E/S</w:t>
      </w:r>
      <w:r>
        <w:rPr>
          <w:rFonts w:hint="eastAsia" w:ascii="宋体" w:hAnsi="宋体"/>
          <w:b/>
          <w:color w:val="000000" w:themeColor="text1"/>
          <w:szCs w:val="21"/>
          <w14:textFill>
            <w14:solidFill>
              <w14:schemeClr w14:val="tx1"/>
            </w14:solidFill>
          </w14:textFill>
        </w:rPr>
        <w:t>分开填写）</w:t>
      </w:r>
    </w:p>
    <w:p>
      <w:pPr>
        <w:tabs>
          <w:tab w:val="left" w:pos="645"/>
        </w:tabs>
        <w:spacing w:after="163" w:afterLines="50" w:line="360" w:lineRule="exact"/>
        <w:rPr>
          <w:b/>
          <w:sz w:val="16"/>
          <w:szCs w:val="16"/>
        </w:rPr>
      </w:pPr>
      <w:r>
        <w:rPr>
          <w:rFonts w:hint="eastAsia"/>
          <w:b/>
          <w:sz w:val="26"/>
          <w:szCs w:val="26"/>
        </w:rPr>
        <w:t>九、审核结论</w:t>
      </w:r>
    </w:p>
    <w:tbl>
      <w:tblPr>
        <w:tblStyle w:val="6"/>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2"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hint="eastAsia" w:ascii="宋体" w:hAnsi="宋体"/>
                <w:b/>
                <w:szCs w:val="21"/>
                <w:lang w:eastAsia="zh-CN"/>
              </w:rPr>
              <w:t>■</w:t>
            </w:r>
            <w:r>
              <w:rPr>
                <w:rFonts w:ascii="宋体" w:hAnsi="宋体"/>
                <w:b/>
                <w:szCs w:val="21"/>
              </w:rPr>
              <w:t xml:space="preserve">EMS  </w:t>
            </w:r>
            <w:r>
              <w:rPr>
                <w:rFonts w:hint="eastAsia" w:ascii="宋体" w:hAnsi="宋体"/>
                <w:b/>
                <w:szCs w:val="21"/>
                <w:lang w:eastAsia="zh-CN"/>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tabs>
                <w:tab w:val="left" w:pos="2552"/>
              </w:tabs>
              <w:spacing w:beforeLines="50" w:afterLines="50" w:line="280" w:lineRule="exact"/>
              <w:ind w:firstLine="482" w:firstLineChars="200"/>
              <w:rPr>
                <w:rFonts w:ascii="宋体" w:hAnsi="宋体"/>
                <w:b/>
                <w:szCs w:val="21"/>
              </w:rPr>
            </w:pPr>
            <w:r>
              <w:rPr>
                <w:rFonts w:ascii="宋体" w:hAnsi="宋体"/>
                <w:b/>
                <w:szCs w:val="21"/>
              </w:rPr>
              <w:t>(</w:t>
            </w:r>
            <w:r>
              <w:rPr>
                <w:rFonts w:hint="eastAsia" w:ascii="微软雅黑" w:hAnsi="微软雅黑" w:eastAsia="微软雅黑"/>
                <w:bCs/>
                <w:szCs w:val="24"/>
              </w:rPr>
              <w:t>综上所述，审核组一致认为，（</w:t>
            </w:r>
            <w:r>
              <w:rPr>
                <w:rFonts w:hint="eastAsia" w:ascii="微软雅黑" w:hAnsi="微软雅黑" w:eastAsia="微软雅黑"/>
                <w:bCs/>
                <w:szCs w:val="24"/>
                <w:lang w:eastAsia="zh-CN"/>
              </w:rPr>
              <w:t>重庆市重点产业人力资源服务有限公司</w:t>
            </w:r>
            <w:r>
              <w:rPr>
                <w:rFonts w:hint="eastAsia" w:ascii="微软雅黑" w:hAnsi="微软雅黑" w:eastAsia="微软雅黑"/>
                <w:bCs/>
                <w:szCs w:val="24"/>
              </w:rPr>
              <w:t>）的质量</w:t>
            </w:r>
            <w:r>
              <w:rPr>
                <w:rFonts w:hint="eastAsia" w:ascii="微软雅黑" w:hAnsi="微软雅黑" w:eastAsia="微软雅黑"/>
                <w:bCs/>
                <w:szCs w:val="24"/>
                <w:lang w:eastAsia="zh-CN"/>
              </w:rPr>
              <w:t>、</w:t>
            </w:r>
            <w:r>
              <w:rPr>
                <w:rFonts w:hint="eastAsia" w:ascii="微软雅黑" w:hAnsi="微软雅黑" w:eastAsia="微软雅黑"/>
                <w:bCs/>
                <w:szCs w:val="24"/>
                <w:lang w:val="en-US" w:eastAsia="zh-CN"/>
              </w:rPr>
              <w:t>环境、职业健康安全</w:t>
            </w:r>
            <w:r>
              <w:rPr>
                <w:rFonts w:hint="eastAsia" w:ascii="微软雅黑" w:hAnsi="微软雅黑" w:eastAsia="微软雅黑"/>
                <w:bCs/>
                <w:szCs w:val="24"/>
              </w:rPr>
              <w:t>管理体系适宜、充分、得到良好的实施和保持，体系运行持续有效。</w:t>
            </w:r>
            <w:r>
              <w:rPr>
                <w:rFonts w:ascii="宋体" w:hAnsi="宋体"/>
                <w:b/>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lang w:eastAsia="zh-CN"/>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hint="eastAsia" w:ascii="宋体" w:hAnsi="宋体"/>
                <w:b/>
                <w:szCs w:val="21"/>
                <w:lang w:eastAsia="zh-CN"/>
              </w:rPr>
              <w:t>■</w:t>
            </w:r>
            <w:r>
              <w:rPr>
                <w:rFonts w:ascii="宋体" w:hAnsi="宋体"/>
                <w:b/>
                <w:szCs w:val="21"/>
              </w:rPr>
              <w:t xml:space="preserve">EMS  </w:t>
            </w:r>
            <w:r>
              <w:rPr>
                <w:rFonts w:hint="eastAsia" w:ascii="宋体" w:hAnsi="宋体"/>
                <w:b/>
                <w:szCs w:val="21"/>
                <w:lang w:eastAsia="zh-CN"/>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rPr>
                <w:b/>
                <w:sz w:val="26"/>
                <w:szCs w:val="26"/>
              </w:rPr>
            </w:pP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w:t>
      </w:r>
      <w:r>
        <w:rPr>
          <w:rFonts w:hint="eastAsia"/>
          <w:b/>
          <w:sz w:val="21"/>
          <w:u w:val="single"/>
          <w:lang w:val="en-US" w:eastAsia="zh-CN"/>
        </w:rPr>
        <w:t>60</w:t>
      </w:r>
      <w:r>
        <w:rPr>
          <w:rFonts w:hint="eastAsia"/>
          <w:b/>
          <w:sz w:val="21"/>
        </w:rPr>
        <w:t>天针对不符合原因制定并实施纠正措施。验证方式见不符合项报告。</w:t>
      </w:r>
    </w:p>
    <w:p>
      <w:pPr>
        <w:spacing w:before="163" w:beforeLines="50" w:after="163" w:afterLines="50"/>
        <w:ind w:left="-122" w:leftChars="-51" w:firstLine="120" w:firstLineChars="46"/>
        <w:rPr>
          <w:rFonts w:hint="eastAsia" w:eastAsia="宋体"/>
          <w:b/>
          <w:color w:val="FF0000"/>
          <w:sz w:val="26"/>
          <w:szCs w:val="26"/>
          <w:lang w:val="en-US" w:eastAsia="zh-CN"/>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r>
        <w:rPr>
          <w:rFonts w:hint="eastAsia"/>
          <w:b/>
          <w:sz w:val="26"/>
          <w:szCs w:val="26"/>
          <w:lang w:val="en-US" w:eastAsia="zh-CN"/>
        </w:rPr>
        <w:t>无</w:t>
      </w:r>
    </w:p>
    <w:p>
      <w:pPr>
        <w:snapToGrid w:val="0"/>
        <w:spacing w:line="360" w:lineRule="exact"/>
        <w:rPr>
          <w:b/>
          <w:bCs/>
          <w:sz w:val="21"/>
          <w:szCs w:val="28"/>
        </w:rPr>
      </w:pPr>
    </w:p>
    <w:p>
      <w:pPr>
        <w:tabs>
          <w:tab w:val="left" w:pos="645"/>
        </w:tabs>
        <w:spacing w:after="163" w:afterLines="50" w:line="360" w:lineRule="exact"/>
        <w:rPr>
          <w:b/>
          <w:sz w:val="16"/>
          <w:szCs w:val="16"/>
        </w:rPr>
      </w:pP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p>
    <w:p>
      <w:pPr>
        <w:snapToGrid w:val="0"/>
        <w:spacing w:before="163" w:beforeLines="50" w:line="320" w:lineRule="exact"/>
        <w:ind w:firstLine="527" w:firstLineChars="250"/>
        <w:rPr>
          <w:b/>
          <w:sz w:val="21"/>
        </w:rPr>
      </w:pPr>
      <w:r>
        <w:rPr>
          <w:rFonts w:hint="eastAsia"/>
          <w:b/>
          <w:sz w:val="21"/>
        </w:rPr>
        <w:t>审核组组员（签名）：</w:t>
      </w:r>
    </w:p>
    <w:p>
      <w:pPr>
        <w:snapToGrid w:val="0"/>
        <w:spacing w:line="280" w:lineRule="exact"/>
        <w:ind w:firstLine="6325" w:firstLineChars="3000"/>
        <w:rPr>
          <w:rFonts w:hint="default" w:eastAsia="宋体"/>
          <w:b/>
          <w:sz w:val="21"/>
          <w:lang w:val="en-US" w:eastAsia="zh-CN"/>
        </w:rPr>
      </w:pPr>
      <w:r>
        <w:rPr>
          <w:rFonts w:hint="eastAsia"/>
          <w:b/>
          <w:sz w:val="21"/>
        </w:rPr>
        <w:t>日期：</w:t>
      </w:r>
      <w:r>
        <w:rPr>
          <w:rFonts w:hint="eastAsia"/>
          <w:b/>
          <w:sz w:val="21"/>
          <w:lang w:val="en-US" w:eastAsia="zh-CN"/>
        </w:rPr>
        <w:t>2020.12.27</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color w:val="000000" w:themeColor="text1"/>
          <w:sz w:val="21"/>
          <w:szCs w:val="21"/>
          <w14:textFill>
            <w14:solidFill>
              <w14:schemeClr w14:val="tx1"/>
            </w14:solidFill>
          </w14:textFill>
        </w:rPr>
      </w:pPr>
      <w:r>
        <w:rPr>
          <w:b/>
          <w:bCs/>
          <w:color w:val="000000" w:themeColor="text1"/>
          <w:sz w:val="21"/>
          <w:szCs w:val="21"/>
          <w14:textFill>
            <w14:solidFill>
              <w14:schemeClr w14:val="tx1"/>
            </w14:solidFill>
          </w14:textFill>
        </w:rPr>
        <w:t>1.</w:t>
      </w:r>
      <w:r>
        <w:rPr>
          <w:rFonts w:hint="eastAsia"/>
          <w:b/>
          <w:bCs/>
          <w:color w:val="000000" w:themeColor="text1"/>
          <w:sz w:val="21"/>
          <w:szCs w:val="21"/>
          <w14:textFill>
            <w14:solidFill>
              <w14:schemeClr w14:val="tx1"/>
            </w14:solidFill>
          </w14:textFill>
        </w:rPr>
        <w:t>审核中发现的</w:t>
      </w:r>
      <w:r>
        <w:rPr>
          <w:rFonts w:hint="eastAsia" w:ascii="宋体" w:hAnsi="宋体" w:eastAsia="宋体" w:cs="宋体"/>
          <w:b/>
          <w:bCs/>
          <w:color w:val="000000" w:themeColor="text1"/>
          <w:sz w:val="21"/>
          <w:szCs w:val="21"/>
          <w14:textFill>
            <w14:solidFill>
              <w14:schemeClr w14:val="tx1"/>
            </w14:solidFill>
          </w14:textFill>
        </w:rPr>
        <w:t>■</w:t>
      </w:r>
      <w:r>
        <w:rPr>
          <w:b/>
          <w:color w:val="000000" w:themeColor="text1"/>
          <w:sz w:val="21"/>
          <w:szCs w:val="21"/>
          <w14:textFill>
            <w14:solidFill>
              <w14:schemeClr w14:val="tx1"/>
            </w14:solidFill>
          </w14:textFill>
        </w:rPr>
        <w:t>QMS (</w:t>
      </w:r>
      <w:r>
        <w:rPr>
          <w:rFonts w:hint="eastAsia"/>
          <w:b/>
          <w:color w:val="000000" w:themeColor="text1"/>
          <w:sz w:val="21"/>
          <w:szCs w:val="21"/>
          <w:lang w:val="en-US" w:eastAsia="zh-CN"/>
          <w14:textFill>
            <w14:solidFill>
              <w14:schemeClr w14:val="tx1"/>
            </w14:solidFill>
          </w14:textFill>
        </w:rPr>
        <w:t>1</w:t>
      </w:r>
      <w:r>
        <w:rPr>
          <w:b/>
          <w:color w:val="000000" w:themeColor="text1"/>
          <w:sz w:val="21"/>
          <w:szCs w:val="21"/>
          <w14:textFill>
            <w14:solidFill>
              <w14:schemeClr w14:val="tx1"/>
            </w14:solidFill>
          </w14:textFill>
        </w:rPr>
        <w:t>)</w:t>
      </w:r>
      <w:r>
        <w:rPr>
          <w:rFonts w:hint="eastAsia"/>
          <w:b/>
          <w:color w:val="000000" w:themeColor="text1"/>
          <w:sz w:val="21"/>
          <w:szCs w:val="21"/>
          <w14:textFill>
            <w14:solidFill>
              <w14:schemeClr w14:val="tx1"/>
            </w14:solidFill>
          </w14:textFill>
        </w:rPr>
        <w:t>个一般不符合，</w:t>
      </w:r>
      <w:r>
        <w:rPr>
          <w:b/>
          <w:color w:val="000000" w:themeColor="text1"/>
          <w:sz w:val="21"/>
          <w:szCs w:val="21"/>
          <w14:textFill>
            <w14:solidFill>
              <w14:schemeClr w14:val="tx1"/>
            </w14:solidFill>
          </w14:textFill>
        </w:rPr>
        <w:t>(</w:t>
      </w:r>
      <w:r>
        <w:rPr>
          <w:rFonts w:hint="eastAsia"/>
          <w:b/>
          <w:color w:val="000000" w:themeColor="text1"/>
          <w:sz w:val="21"/>
          <w:szCs w:val="21"/>
          <w:lang w:val="en-US" w:eastAsia="zh-CN"/>
          <w14:textFill>
            <w14:solidFill>
              <w14:schemeClr w14:val="tx1"/>
            </w14:solidFill>
          </w14:textFill>
        </w:rPr>
        <w:t>0</w:t>
      </w:r>
      <w:r>
        <w:rPr>
          <w:b/>
          <w:color w:val="000000" w:themeColor="text1"/>
          <w:sz w:val="21"/>
          <w:szCs w:val="21"/>
          <w14:textFill>
            <w14:solidFill>
              <w14:schemeClr w14:val="tx1"/>
            </w14:solidFill>
          </w14:textFill>
        </w:rPr>
        <w:t>)</w:t>
      </w:r>
      <w:r>
        <w:rPr>
          <w:rFonts w:hint="eastAsia"/>
          <w:b/>
          <w:color w:val="000000" w:themeColor="text1"/>
          <w:sz w:val="21"/>
          <w:szCs w:val="21"/>
          <w14:textFill>
            <w14:solidFill>
              <w14:schemeClr w14:val="tx1"/>
            </w14:solidFill>
          </w14:textFill>
        </w:rPr>
        <w:t>个严重不符合，</w:t>
      </w:r>
      <w:r>
        <w:rPr>
          <w:rFonts w:hint="eastAsia"/>
          <w:b/>
          <w:color w:val="000000" w:themeColor="text1"/>
          <w:sz w:val="21"/>
          <w:szCs w:val="21"/>
          <w:lang w:eastAsia="zh-CN"/>
          <w14:textFill>
            <w14:solidFill>
              <w14:schemeClr w14:val="tx1"/>
            </w14:solidFill>
          </w14:textFill>
        </w:rPr>
        <w:t>■</w:t>
      </w:r>
      <w:r>
        <w:rPr>
          <w:rFonts w:hint="eastAsia"/>
          <w:b/>
          <w:color w:val="000000" w:themeColor="text1"/>
          <w:sz w:val="21"/>
          <w:szCs w:val="21"/>
          <w14:textFill>
            <w14:solidFill>
              <w14:schemeClr w14:val="tx1"/>
            </w14:solidFill>
          </w14:textFill>
        </w:rPr>
        <w:t>验证合格□仍有问题</w:t>
      </w:r>
    </w:p>
    <w:p>
      <w:pPr>
        <w:spacing w:line="360" w:lineRule="exact"/>
        <w:ind w:firstLine="843" w:firstLineChars="400"/>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审核中发现的□50430 (    )个一般不符合，(    )个严重不符合，□验证合格□仍有问题</w:t>
      </w:r>
    </w:p>
    <w:p>
      <w:pPr>
        <w:spacing w:line="360" w:lineRule="exact"/>
        <w:ind w:firstLine="843" w:firstLineChars="400"/>
        <w:rPr>
          <w:b/>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审核中发现的</w:t>
      </w:r>
      <w:r>
        <w:rPr>
          <w:rFonts w:hint="eastAsia"/>
          <w:b/>
          <w:color w:val="000000" w:themeColor="text1"/>
          <w:sz w:val="21"/>
          <w:szCs w:val="21"/>
          <w14:textFill>
            <w14:solidFill>
              <w14:schemeClr w14:val="tx1"/>
            </w14:solidFill>
          </w14:textFill>
        </w:rPr>
        <w:t>□</w:t>
      </w:r>
      <w:r>
        <w:rPr>
          <w:b/>
          <w:color w:val="000000" w:themeColor="text1"/>
          <w:sz w:val="21"/>
          <w:szCs w:val="21"/>
          <w14:textFill>
            <w14:solidFill>
              <w14:schemeClr w14:val="tx1"/>
            </w14:solidFill>
          </w14:textFill>
        </w:rPr>
        <w:t>EMS ()</w:t>
      </w:r>
      <w:r>
        <w:rPr>
          <w:rFonts w:hint="eastAsia"/>
          <w:b/>
          <w:color w:val="000000" w:themeColor="text1"/>
          <w:sz w:val="21"/>
          <w:szCs w:val="21"/>
          <w14:textFill>
            <w14:solidFill>
              <w14:schemeClr w14:val="tx1"/>
            </w14:solidFill>
          </w14:textFill>
        </w:rPr>
        <w:t>个一般不符合，</w:t>
      </w:r>
      <w:r>
        <w:rPr>
          <w:b/>
          <w:color w:val="000000" w:themeColor="text1"/>
          <w:sz w:val="21"/>
          <w:szCs w:val="21"/>
          <w14:textFill>
            <w14:solidFill>
              <w14:schemeClr w14:val="tx1"/>
            </w14:solidFill>
          </w14:textFill>
        </w:rPr>
        <w:t>( )</w:t>
      </w:r>
      <w:r>
        <w:rPr>
          <w:rFonts w:hint="eastAsia"/>
          <w:b/>
          <w:color w:val="000000" w:themeColor="text1"/>
          <w:sz w:val="21"/>
          <w:szCs w:val="21"/>
          <w14:textFill>
            <w14:solidFill>
              <w14:schemeClr w14:val="tx1"/>
            </w14:solidFill>
          </w14:textFill>
        </w:rPr>
        <w:t>个严重不符合，□验证合格□仍有问题</w:t>
      </w:r>
    </w:p>
    <w:p>
      <w:pPr>
        <w:spacing w:line="360" w:lineRule="exact"/>
        <w:ind w:firstLine="843" w:firstLineChars="400"/>
        <w:rPr>
          <w:b/>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审核中发现的</w:t>
      </w:r>
      <w:r>
        <w:rPr>
          <w:rFonts w:hint="eastAsia"/>
          <w:b/>
          <w:color w:val="000000" w:themeColor="text1"/>
          <w:sz w:val="21"/>
          <w:szCs w:val="21"/>
          <w14:textFill>
            <w14:solidFill>
              <w14:schemeClr w14:val="tx1"/>
            </w14:solidFill>
          </w14:textFill>
        </w:rPr>
        <w:t>□</w:t>
      </w:r>
      <w:r>
        <w:rPr>
          <w:b/>
          <w:color w:val="000000" w:themeColor="text1"/>
          <w:sz w:val="21"/>
          <w:szCs w:val="21"/>
          <w14:textFill>
            <w14:solidFill>
              <w14:schemeClr w14:val="tx1"/>
            </w14:solidFill>
          </w14:textFill>
        </w:rPr>
        <w:t>OHSMS (    )</w:t>
      </w:r>
      <w:r>
        <w:rPr>
          <w:rFonts w:hint="eastAsia"/>
          <w:b/>
          <w:color w:val="000000" w:themeColor="text1"/>
          <w:sz w:val="21"/>
          <w:szCs w:val="21"/>
          <w14:textFill>
            <w14:solidFill>
              <w14:schemeClr w14:val="tx1"/>
            </w14:solidFill>
          </w14:textFill>
        </w:rPr>
        <w:t>个一般不符合，</w:t>
      </w:r>
      <w:r>
        <w:rPr>
          <w:b/>
          <w:color w:val="000000" w:themeColor="text1"/>
          <w:sz w:val="21"/>
          <w:szCs w:val="21"/>
          <w14:textFill>
            <w14:solidFill>
              <w14:schemeClr w14:val="tx1"/>
            </w14:solidFill>
          </w14:textFill>
        </w:rPr>
        <w:t>(    )</w:t>
      </w:r>
      <w:r>
        <w:rPr>
          <w:rFonts w:hint="eastAsia"/>
          <w:b/>
          <w:color w:val="000000" w:themeColor="text1"/>
          <w:sz w:val="21"/>
          <w:szCs w:val="21"/>
          <w14:textFill>
            <w14:solidFill>
              <w14:schemeClr w14:val="tx1"/>
            </w14:solidFill>
          </w14:textFill>
        </w:rPr>
        <w:t>个严重不符合，□验证合格□仍有问题</w:t>
      </w:r>
      <w:r>
        <w:rPr>
          <w:rFonts w:hint="eastAsia"/>
          <w:b/>
          <w:bCs/>
          <w:color w:val="000000" w:themeColor="text1"/>
          <w:sz w:val="21"/>
          <w:szCs w:val="21"/>
          <w14:textFill>
            <w14:solidFill>
              <w14:schemeClr w14:val="tx1"/>
            </w14:solidFill>
          </w14:textFill>
        </w:rPr>
        <w:t>审</w:t>
      </w:r>
    </w:p>
    <w:p>
      <w:pPr>
        <w:spacing w:line="360" w:lineRule="exact"/>
        <w:ind w:firstLine="843" w:firstLineChars="400"/>
        <w:rPr>
          <w:b/>
          <w:color w:val="FF0000"/>
          <w:sz w:val="21"/>
          <w:szCs w:val="21"/>
        </w:rPr>
      </w:pPr>
    </w:p>
    <w:p>
      <w:pPr>
        <w:spacing w:before="163"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bookmarkStart w:id="27" w:name="_GoBack"/>
      <w:bookmarkEnd w:id="27"/>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897" w:firstLineChars="900"/>
        <w:rPr>
          <w:b/>
          <w:sz w:val="21"/>
          <w:szCs w:val="21"/>
        </w:rPr>
      </w:pPr>
      <w:r>
        <w:rPr>
          <w:rFonts w:hint="eastAsia"/>
          <w:b/>
          <w:sz w:val="21"/>
          <w:szCs w:val="21"/>
          <w:lang w:eastAsia="zh-CN"/>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723" w:firstLineChars="343"/>
        <w:rPr>
          <w:b/>
          <w:sz w:val="21"/>
          <w:szCs w:val="21"/>
          <w:u w:val="single"/>
        </w:rPr>
      </w:pPr>
      <w:r>
        <w:rPr>
          <w:rFonts w:hint="eastAsia"/>
          <w:b/>
          <w:sz w:val="21"/>
          <w:szCs w:val="21"/>
        </w:rPr>
        <w:t>组长签字：</w:t>
      </w: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rPr>
          <w:b/>
          <w:sz w:val="21"/>
          <w:u w:val="single"/>
        </w:rPr>
      </w:pPr>
    </w:p>
    <w:p>
      <w:pPr>
        <w:spacing w:line="360" w:lineRule="auto"/>
        <w:rPr>
          <w:b/>
          <w:sz w:val="26"/>
          <w:szCs w:val="26"/>
        </w:rPr>
      </w:pPr>
      <w:r>
        <w:rPr>
          <w:rFonts w:hint="eastAsia"/>
          <w:b/>
          <w:sz w:val="26"/>
          <w:szCs w:val="26"/>
        </w:rPr>
        <w:t>十五、认证评定与批准</w:t>
      </w:r>
    </w:p>
    <w:p>
      <w:pPr>
        <w:numPr>
          <w:ilvl w:val="0"/>
          <w:numId w:val="4"/>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pPr>
        <w:spacing w:line="360" w:lineRule="auto"/>
        <w:ind w:left="600"/>
        <w:rPr>
          <w:b/>
          <w:szCs w:val="24"/>
        </w:rPr>
      </w:pPr>
      <w:r>
        <w:rPr>
          <w:rFonts w:hint="eastAsia"/>
          <w:b/>
          <w:szCs w:val="24"/>
        </w:rPr>
        <w:t>认证评定负责人：</w:t>
      </w:r>
      <w:r>
        <w:rPr>
          <w:rFonts w:hint="eastAsia"/>
          <w:b/>
          <w:szCs w:val="24"/>
          <w:lang w:val="en-US" w:eastAsia="zh-CN"/>
        </w:rPr>
        <w:t xml:space="preserve">                </w:t>
      </w:r>
      <w:r>
        <w:rPr>
          <w:rFonts w:hint="eastAsia"/>
          <w:b/>
          <w:szCs w:val="24"/>
        </w:rPr>
        <w:t>日期：</w:t>
      </w:r>
      <w:r>
        <w:rPr>
          <w:rFonts w:hint="eastAsia"/>
          <w:b/>
          <w:szCs w:val="24"/>
          <w:lang w:val="en-US" w:eastAsia="zh-CN"/>
        </w:rPr>
        <w:t xml:space="preserve">   </w:t>
      </w:r>
      <w:r>
        <w:rPr>
          <w:rFonts w:hint="eastAsia"/>
          <w:b/>
          <w:szCs w:val="24"/>
        </w:rPr>
        <w:t>年</w:t>
      </w:r>
      <w:r>
        <w:rPr>
          <w:rFonts w:hint="eastAsia"/>
          <w:b/>
          <w:szCs w:val="24"/>
          <w:lang w:val="en-US" w:eastAsia="zh-CN"/>
        </w:rPr>
        <w:t xml:space="preserve">   </w:t>
      </w:r>
      <w:r>
        <w:rPr>
          <w:rFonts w:hint="eastAsia"/>
          <w:b/>
          <w:szCs w:val="24"/>
        </w:rPr>
        <w:t>月</w:t>
      </w:r>
      <w:r>
        <w:rPr>
          <w:rFonts w:hint="eastAsia"/>
          <w:b/>
          <w:szCs w:val="24"/>
          <w:lang w:val="en-US" w:eastAsia="zh-CN"/>
        </w:rPr>
        <w:t xml:space="preserve">  </w:t>
      </w:r>
      <w:r>
        <w:rPr>
          <w:rFonts w:hint="eastAsia"/>
          <w:b/>
          <w:szCs w:val="24"/>
        </w:rPr>
        <w:t>日</w:t>
      </w:r>
    </w:p>
    <w:p>
      <w:pPr>
        <w:numPr>
          <w:ilvl w:val="0"/>
          <w:numId w:val="4"/>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pPr>
        <w:spacing w:line="360" w:lineRule="auto"/>
        <w:ind w:left="600"/>
        <w:rPr>
          <w:b/>
          <w:szCs w:val="24"/>
        </w:rPr>
      </w:pPr>
      <w:r>
        <w:rPr>
          <w:rFonts w:hint="eastAsia"/>
          <w:b/>
          <w:szCs w:val="24"/>
        </w:rPr>
        <w:t>批准人（总经理）：</w:t>
      </w:r>
      <w:r>
        <w:rPr>
          <w:rFonts w:hint="eastAsia"/>
          <w:b/>
          <w:szCs w:val="24"/>
          <w:lang w:val="en-US" w:eastAsia="zh-CN"/>
        </w:rPr>
        <w:t xml:space="preserve">               </w:t>
      </w:r>
      <w:r>
        <w:rPr>
          <w:rFonts w:hint="eastAsia"/>
          <w:b/>
          <w:szCs w:val="24"/>
        </w:rPr>
        <w:t>日期：</w:t>
      </w:r>
      <w:r>
        <w:rPr>
          <w:rFonts w:hint="eastAsia"/>
          <w:b/>
          <w:szCs w:val="24"/>
          <w:lang w:val="en-US" w:eastAsia="zh-CN"/>
        </w:rPr>
        <w:t xml:space="preserve">   </w:t>
      </w:r>
      <w:r>
        <w:rPr>
          <w:rFonts w:hint="eastAsia"/>
          <w:b/>
          <w:szCs w:val="24"/>
        </w:rPr>
        <w:t>年</w:t>
      </w:r>
      <w:r>
        <w:rPr>
          <w:rFonts w:hint="eastAsia"/>
          <w:b/>
          <w:szCs w:val="24"/>
          <w:lang w:val="en-US" w:eastAsia="zh-CN"/>
        </w:rPr>
        <w:t xml:space="preserve">  </w:t>
      </w:r>
      <w:r>
        <w:rPr>
          <w:rFonts w:hint="eastAsia"/>
          <w:b/>
          <w:szCs w:val="24"/>
        </w:rPr>
        <w:t>月</w:t>
      </w:r>
      <w:r>
        <w:rPr>
          <w:rFonts w:hint="eastAsia"/>
          <w:b/>
          <w:szCs w:val="24"/>
          <w:lang w:val="en-US" w:eastAsia="zh-CN"/>
        </w:rPr>
        <w:t xml:space="preserve">    </w:t>
      </w:r>
      <w:r>
        <w:rPr>
          <w:rFonts w:hint="eastAsia"/>
          <w:b/>
          <w:szCs w:val="24"/>
        </w:rPr>
        <w:t>日</w:t>
      </w:r>
    </w:p>
    <w:p>
      <w:pPr>
        <w:snapToGrid w:val="0"/>
        <w:spacing w:before="163" w:beforeLines="50" w:after="163"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ascii="宋体" w:hAnsi="宋体"/>
          <w:b/>
          <w:sz w:val="26"/>
          <w:szCs w:val="26"/>
        </w:rPr>
        <w:t>十八、填表说明：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方正仿宋简体" w:eastAsia="方正仿宋简体"/>
          <w:b/>
        </w:rPr>
        <w:t>十九、</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5"/>
        <w:rFonts w:hint="default"/>
      </w:rPr>
    </w:pPr>
    <w:r>
      <w:pict>
        <v:shape id="_x0000_s3073" o:spid="_x0000_s3073"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r>
      <w:pict>
        <v:shape id="文本框 1" o:spid="_x0000_s3074"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5"/>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E711BCF"/>
    <w:multiLevelType w:val="singleLevel"/>
    <w:tmpl w:val="FE711BCF"/>
    <w:lvl w:ilvl="0" w:tentative="0">
      <w:start w:val="1"/>
      <w:numFmt w:val="decimal"/>
      <w:suff w:val="nothing"/>
      <w:lvlText w:val="%1、"/>
      <w:lvlJc w:val="left"/>
    </w:lvl>
  </w:abstractNum>
  <w:abstractNum w:abstractNumId="1">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2">
    <w:nsid w:val="2AF10A06"/>
    <w:multiLevelType w:val="singleLevel"/>
    <w:tmpl w:val="2AF10A06"/>
    <w:lvl w:ilvl="0" w:tentative="0">
      <w:start w:val="3"/>
      <w:numFmt w:val="decimal"/>
      <w:suff w:val="space"/>
      <w:lvlText w:val="%1."/>
      <w:lvlJc w:val="left"/>
    </w:lvl>
  </w:abstractNum>
  <w:abstractNum w:abstractNumId="3">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3EF3455"/>
    <w:rsid w:val="227C5C29"/>
    <w:rsid w:val="268D2F4F"/>
    <w:rsid w:val="492745A6"/>
    <w:rsid w:val="5D49316F"/>
    <w:rsid w:val="7B88429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_x0000_s2053"/>
        <o:r id="V:Rule2" type="connector" idref="#_x0000_s2054"/>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0"/>
    <w:semiHidden/>
    <w:uiPriority w:val="99"/>
    <w:rPr>
      <w:sz w:val="18"/>
      <w:szCs w:val="18"/>
    </w:rPr>
  </w:style>
  <w:style w:type="paragraph" w:styleId="4">
    <w:name w:val="footer"/>
    <w:basedOn w:val="1"/>
    <w:link w:val="11"/>
    <w:semiHidden/>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semiHidden/>
    <w:unhideWhenUsed/>
    <w:qFormat/>
    <w:uiPriority w:val="99"/>
    <w:rPr>
      <w:color w:val="0000FF"/>
      <w:u w:val="single"/>
    </w:rPr>
  </w:style>
  <w:style w:type="character" w:customStyle="1" w:styleId="10">
    <w:name w:val="批注框文本 Char"/>
    <w:link w:val="3"/>
    <w:semiHidden/>
    <w:qFormat/>
    <w:locked/>
    <w:uiPriority w:val="99"/>
    <w:rPr>
      <w:rFonts w:ascii="Times New Roman" w:hAnsi="Times New Roman" w:eastAsia="宋体" w:cs="Times New Roman"/>
      <w:sz w:val="18"/>
      <w:szCs w:val="18"/>
    </w:rPr>
  </w:style>
  <w:style w:type="character" w:customStyle="1" w:styleId="11">
    <w:name w:val="页脚 Char"/>
    <w:link w:val="4"/>
    <w:semiHidden/>
    <w:qFormat/>
    <w:locked/>
    <w:uiPriority w:val="99"/>
    <w:rPr>
      <w:rFonts w:ascii="Times New Roman" w:hAnsi="Times New Roman" w:eastAsia="宋体" w:cs="Times New Roman"/>
      <w:sz w:val="18"/>
      <w:szCs w:val="18"/>
    </w:rPr>
  </w:style>
  <w:style w:type="character" w:customStyle="1" w:styleId="12">
    <w:name w:val="页眉 Char"/>
    <w:link w:val="5"/>
    <w:qFormat/>
    <w:locked/>
    <w:uiPriority w:val="0"/>
    <w:rPr>
      <w:sz w:val="18"/>
    </w:rPr>
  </w:style>
  <w:style w:type="character" w:customStyle="1" w:styleId="13">
    <w:name w:val="页眉 Char1"/>
    <w:semiHidden/>
    <w:qFormat/>
    <w:uiPriority w:val="99"/>
    <w:rPr>
      <w:rFonts w:ascii="Times New Roman" w:hAnsi="Times New Roman" w:eastAsia="宋体" w:cs="Times New Roman"/>
      <w:sz w:val="18"/>
      <w:szCs w:val="18"/>
    </w:rPr>
  </w:style>
  <w:style w:type="paragraph" w:styleId="14">
    <w:name w:val="List Paragraph"/>
    <w:basedOn w:val="1"/>
    <w:qFormat/>
    <w:uiPriority w:val="99"/>
    <w:pPr>
      <w:ind w:firstLine="420" w:firstLineChars="200"/>
    </w:pPr>
    <w:rPr>
      <w:sz w:val="21"/>
      <w:szCs w:val="24"/>
    </w:rPr>
  </w:style>
  <w:style w:type="character" w:customStyle="1" w:styleId="15">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2050"/>
    <customShpInfo spid="_x0000_s2053"/>
    <customShpInfo spid="_x0000_s2054"/>
    <customShpInfo spid="_x0000_s205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655</Words>
  <Characters>3739</Characters>
  <Lines>31</Lines>
  <Paragraphs>8</Paragraphs>
  <TotalTime>6</TotalTime>
  <ScaleCrop>false</ScaleCrop>
  <LinksUpToDate>false</LinksUpToDate>
  <CharactersWithSpaces>4386</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小冉</cp:lastModifiedBy>
  <cp:lastPrinted>2019-04-18T08:15:00Z</cp:lastPrinted>
  <dcterms:modified xsi:type="dcterms:W3CDTF">2020-12-25T07:47:24Z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