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31"/>
        <w:gridCol w:w="139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重庆天乙环境污染治理有限公司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rFonts w:hint="eastAsia"/>
                <w:b/>
                <w:sz w:val="20"/>
              </w:rPr>
              <w:t>Q/</w:t>
            </w: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/O:</w:t>
            </w:r>
            <w:r>
              <w:rPr>
                <w:b/>
                <w:sz w:val="20"/>
              </w:rPr>
              <w:t>29.12.00;35.16.03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Q/</w:t>
            </w: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</w:rPr>
              <w:t>/O:</w:t>
            </w:r>
            <w:r>
              <w:rPr>
                <w:b/>
                <w:sz w:val="20"/>
              </w:rPr>
              <w:t>29.12.00;35.16.03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3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3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冉景洲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E:29.12.00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Q:29.12.00</w:t>
            </w:r>
          </w:p>
        </w:tc>
        <w:tc>
          <w:tcPr>
            <w:tcW w:w="139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白蚁防治流程图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网上投标--中标--签订合同--入场前期准备—实施服务 --交付顾客。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有害生物防制流程：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现场勘查有害生物危害情况--制定防制实施方案—防治实施—效果监测-客户验收。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室内外污染防治流程：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污染治理前的检测—治理—治理后污染检测-客户验收。</w:t>
            </w:r>
          </w:p>
          <w:p>
            <w:pPr>
              <w:spacing w:line="4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销售产品流程：</w:t>
            </w:r>
          </w:p>
          <w:p>
            <w:pPr>
              <w:spacing w:line="40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客户要货-采购商品-验收商品—交付客户。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处置方案、防治过程控制，控制措施有药物配比、用量和操作步骤。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1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1）化学药剂的排放；2）化学品泄漏；3）固废（含危险固废）的排放。通过拟定方案进行控制。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1）火灾；2）人身伤害（化学品中毒、生物伤害），通过控制方案和预案进行控制。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《病媒生物密度控制水平 鼠类》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>GB/T 27770-2011</w:t>
            </w:r>
            <w:r>
              <w:rPr>
                <w:rFonts w:hint="eastAsia" w:ascii="宋体" w:hAnsi="宋体" w:cs="宋体"/>
                <w:sz w:val="21"/>
                <w:szCs w:val="21"/>
              </w:rPr>
              <w:t>、《病媒生物密度控制水平 蚊虫》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>GB/T 27771-2011； 《</w:t>
            </w:r>
            <w:r>
              <w:rPr>
                <w:rFonts w:hint="eastAsia" w:ascii="宋体" w:hAnsi="宋体" w:cs="宋体"/>
                <w:sz w:val="21"/>
                <w:szCs w:val="21"/>
              </w:rPr>
              <w:t>病媒生物密度控制水平 蝇类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>》GB/T 27772-2011; 《</w:t>
            </w:r>
            <w:r>
              <w:rPr>
                <w:rFonts w:hint="eastAsia" w:ascii="宋体" w:hAnsi="宋体" w:cs="宋体"/>
                <w:sz w:val="21"/>
                <w:szCs w:val="21"/>
              </w:rPr>
              <w:t>病媒生物密度控制水平 蜚蠊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>》GB/T 27773-2011；《</w:t>
            </w:r>
            <w:r>
              <w:rPr>
                <w:rFonts w:hint="eastAsia" w:ascii="宋体" w:hAnsi="宋体" w:cs="宋体"/>
                <w:sz w:val="21"/>
                <w:szCs w:val="21"/>
              </w:rPr>
              <w:t>室内空气质量标准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</w:rPr>
              <w:t>GB/T18883-2002。</w:t>
            </w:r>
            <w:r>
              <w:rPr>
                <w:rFonts w:hint="eastAsia" w:ascii="宋体" w:hAnsi="宋体"/>
                <w:sz w:val="21"/>
                <w:szCs w:val="21"/>
              </w:rPr>
              <w:t>工业企业厂界噪声排放标准（GB12348-2008）、污水综合排放标准（CB8978-1996）3类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检验项目：害虫密度、空气质量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3974465</wp:posOffset>
            </wp:positionH>
            <wp:positionV relativeFrom="paragraph">
              <wp:posOffset>191135</wp:posOffset>
            </wp:positionV>
            <wp:extent cx="323850" cy="335280"/>
            <wp:effectExtent l="0" t="0" r="11430" b="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1250315</wp:posOffset>
            </wp:positionH>
            <wp:positionV relativeFrom="paragraph">
              <wp:posOffset>210185</wp:posOffset>
            </wp:positionV>
            <wp:extent cx="323850" cy="335280"/>
            <wp:effectExtent l="0" t="0" r="11430" b="0"/>
            <wp:wrapNone/>
            <wp:docPr id="1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2020年12月22日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  <w:lang w:eastAsia="zh-CN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2020年12月22日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15E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2020-12-19T06:02:57Z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