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0F3171" w:rsidP="00F2233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F3171" w:rsidP="00F2233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AE437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F31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0F31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九江杜威橡胶科技有限公司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F31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F317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0F317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12.01.07</w:t>
            </w:r>
            <w:bookmarkEnd w:id="5"/>
            <w:bookmarkEnd w:id="6"/>
          </w:p>
        </w:tc>
      </w:tr>
      <w:tr w:rsidR="00AE437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F31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72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杨振国</w:t>
            </w:r>
          </w:p>
        </w:tc>
        <w:tc>
          <w:tcPr>
            <w:tcW w:w="1290" w:type="dxa"/>
            <w:vAlign w:val="center"/>
          </w:tcPr>
          <w:p w:rsidR="00AE4B04" w:rsidRDefault="000F31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672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12.01.07</w:t>
            </w:r>
          </w:p>
        </w:tc>
        <w:tc>
          <w:tcPr>
            <w:tcW w:w="1720" w:type="dxa"/>
            <w:vAlign w:val="center"/>
          </w:tcPr>
          <w:p w:rsidR="00AE4B04" w:rsidRDefault="000F317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AF3F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AE4371" w:rsidTr="00672D4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0F317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0F317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AE4B04" w:rsidRDefault="00672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672D41"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24130</wp:posOffset>
                  </wp:positionV>
                  <wp:extent cx="580390" cy="350520"/>
                  <wp:effectExtent l="19050" t="0" r="0" b="0"/>
                  <wp:wrapNone/>
                  <wp:docPr id="6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1" w:type="dxa"/>
            <w:vAlign w:val="center"/>
          </w:tcPr>
          <w:p w:rsidR="00AE4B04" w:rsidRDefault="004C7AF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3083" type="#_x0000_t75" style="position:absolute;left:0;text-align:left;margin-left:-.8pt;margin-top:-2.15pt;width:60.15pt;height:28.2pt;z-index:251664384;visibility:visible;mso-position-horizontal-relative:text;mso-position-vertical-relative:text">
                  <v:imagedata r:id="rId7" o:title="张磊"/>
                </v:shape>
              </w:pict>
            </w:r>
          </w:p>
        </w:tc>
        <w:tc>
          <w:tcPr>
            <w:tcW w:w="1290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4371" w:rsidTr="00672D4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0F317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1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926C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22332" w:rsidTr="00F22332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2332" w:rsidRDefault="00F2233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备料→预混→聚合反应→凝聚→后处理→检验→包装→入库→交付；</w:t>
            </w:r>
          </w:p>
        </w:tc>
      </w:tr>
      <w:tr w:rsidR="00F22332" w:rsidTr="00F22332">
        <w:trPr>
          <w:cantSplit/>
          <w:trHeight w:val="8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2332" w:rsidRDefault="00F223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2332" w:rsidRDefault="00F22332" w:rsidP="00F223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关键控制点：聚合反应、凝聚过程。</w:t>
            </w:r>
          </w:p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按照策划的作业指导书作业。</w:t>
            </w:r>
          </w:p>
        </w:tc>
      </w:tr>
      <w:tr w:rsidR="00F2233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重要环境因素：固废排放、潜在火灾、噪音排放、废气排放；</w:t>
            </w:r>
          </w:p>
          <w:p w:rsidR="00F22332" w:rsidRPr="00F22332" w:rsidRDefault="00F22332" w:rsidP="00F22332">
            <w:pPr>
              <w:rPr>
                <w:rFonts w:hint="eastAsia"/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控制措施：生产主要废弃物</w:t>
            </w:r>
            <w:r w:rsidRPr="00F22332">
              <w:rPr>
                <w:rFonts w:ascii="宋体" w:hAnsi="宋体" w:hint="eastAsia"/>
                <w:bCs/>
                <w:spacing w:val="20"/>
                <w:sz w:val="21"/>
                <w:szCs w:val="21"/>
              </w:rPr>
              <w:t>废反渗透膜、污水处理站的强化污泥交由相关资质机构处理，生活垃圾</w:t>
            </w:r>
            <w:r w:rsidRPr="00F22332">
              <w:rPr>
                <w:rFonts w:hint="eastAsia"/>
                <w:sz w:val="21"/>
                <w:szCs w:val="21"/>
              </w:rPr>
              <w:t>集中集收外售至废品回收站；选用低噪声的设备、减振基座、单独封闭隔音罩，进出口装消音器、合理布局等措施，同时加强设备的检查和维保，确保设备噪音排放符合要求理布局，隔声减震，厂房隔音；相关废水经过污水处理站后达标排放；生产废气经</w:t>
            </w:r>
            <w:r w:rsidRPr="00F22332">
              <w:rPr>
                <w:rFonts w:hint="eastAsia"/>
                <w:sz w:val="21"/>
                <w:szCs w:val="21"/>
              </w:rPr>
              <w:t>RTO</w:t>
            </w:r>
            <w:r w:rsidRPr="00F22332">
              <w:rPr>
                <w:rFonts w:hint="eastAsia"/>
                <w:sz w:val="21"/>
                <w:szCs w:val="21"/>
              </w:rPr>
              <w:t>焚烧炉焚烧处理，经尾气吸收塔处理后尾气通过</w:t>
            </w:r>
            <w:r w:rsidRPr="00F22332">
              <w:rPr>
                <w:rFonts w:hint="eastAsia"/>
                <w:sz w:val="21"/>
                <w:szCs w:val="21"/>
              </w:rPr>
              <w:t>1</w:t>
            </w:r>
            <w:r w:rsidRPr="00F22332">
              <w:rPr>
                <w:rFonts w:hint="eastAsia"/>
                <w:sz w:val="21"/>
                <w:szCs w:val="21"/>
              </w:rPr>
              <w:t>根</w:t>
            </w:r>
            <w:r w:rsidRPr="00F22332">
              <w:rPr>
                <w:rFonts w:hint="eastAsia"/>
                <w:sz w:val="21"/>
                <w:szCs w:val="21"/>
              </w:rPr>
              <w:t>15</w:t>
            </w:r>
            <w:r w:rsidRPr="00F22332">
              <w:rPr>
                <w:rFonts w:hint="eastAsia"/>
                <w:sz w:val="21"/>
                <w:szCs w:val="21"/>
              </w:rPr>
              <w:t>米高排气筒高空排放。设备、电路定期检修、不定期检查，提高安全环保意识；做好火灾预防措施。一旦发生按相关应急预案执行；制定目标、指标；设备、电路定期检修、降低跑冒滴漏。</w:t>
            </w:r>
          </w:p>
        </w:tc>
      </w:tr>
      <w:tr w:rsidR="00F22332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重大危险源：火灾、触电、爆炸、人身伤害、高空坠落、化学品泄漏、中毒；</w:t>
            </w:r>
          </w:p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控制措施：设备、电路定期检修、不定期检查，提高安全意识；做好火灾预防措施；做好化学品泄漏预防措施。一旦发生按相关应急预案执行；加强个体防护。</w:t>
            </w:r>
          </w:p>
        </w:tc>
      </w:tr>
      <w:tr w:rsidR="00F223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rFonts w:hint="eastAsia"/>
                <w:sz w:val="21"/>
                <w:szCs w:val="21"/>
              </w:rPr>
              <w:t>中华人民共和国安全生产法、劳动法、职业病防治法、聚丙烯酸酯橡胶通用规范及评价方法</w:t>
            </w:r>
            <w:r w:rsidRPr="00F22332">
              <w:rPr>
                <w:rFonts w:hint="eastAsia"/>
                <w:sz w:val="21"/>
                <w:szCs w:val="21"/>
              </w:rPr>
              <w:tab/>
              <w:t>GB/T 33428-2016</w:t>
            </w:r>
          </w:p>
        </w:tc>
      </w:tr>
      <w:tr w:rsidR="00F22332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22332" w:rsidRPr="00F22332" w:rsidRDefault="00F22332" w:rsidP="00F22332">
            <w:pPr>
              <w:rPr>
                <w:sz w:val="21"/>
                <w:szCs w:val="21"/>
              </w:rPr>
            </w:pPr>
            <w:r w:rsidRPr="00F22332">
              <w:rPr>
                <w:sz w:val="21"/>
                <w:szCs w:val="21"/>
              </w:rPr>
              <w:t>无需进行型式检验</w:t>
            </w:r>
            <w:r w:rsidRPr="00F22332">
              <w:rPr>
                <w:rFonts w:hint="eastAsia"/>
                <w:sz w:val="21"/>
                <w:szCs w:val="21"/>
              </w:rPr>
              <w:t>，检验</w:t>
            </w:r>
            <w:r w:rsidRPr="00F22332">
              <w:rPr>
                <w:sz w:val="21"/>
                <w:szCs w:val="21"/>
              </w:rPr>
              <w:t>项目</w:t>
            </w:r>
            <w:r w:rsidRPr="00F22332">
              <w:rPr>
                <w:rFonts w:hint="eastAsia"/>
                <w:sz w:val="21"/>
                <w:szCs w:val="21"/>
              </w:rPr>
              <w:t>：</w:t>
            </w:r>
            <w:r w:rsidRPr="00F22332">
              <w:rPr>
                <w:sz w:val="21"/>
                <w:szCs w:val="21"/>
              </w:rPr>
              <w:t>外观</w:t>
            </w:r>
            <w:r w:rsidRPr="00F22332">
              <w:rPr>
                <w:rFonts w:hint="eastAsia"/>
                <w:sz w:val="21"/>
                <w:szCs w:val="21"/>
              </w:rPr>
              <w:t>、挥发分、</w:t>
            </w:r>
            <w:r w:rsidRPr="00F22332">
              <w:rPr>
                <w:sz w:val="21"/>
                <w:szCs w:val="21"/>
              </w:rPr>
              <w:t>灰分</w:t>
            </w:r>
            <w:r w:rsidRPr="00F22332">
              <w:rPr>
                <w:rFonts w:hint="eastAsia"/>
                <w:sz w:val="21"/>
                <w:szCs w:val="21"/>
              </w:rPr>
              <w:t>、门尼粘度等。</w:t>
            </w:r>
          </w:p>
        </w:tc>
      </w:tr>
      <w:tr w:rsidR="00F22332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2332" w:rsidRDefault="00F2233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22332" w:rsidRPr="00F22332" w:rsidRDefault="00F22332" w:rsidP="00F22332"/>
        </w:tc>
      </w:tr>
    </w:tbl>
    <w:p w:rsidR="00AE4B04" w:rsidRDefault="00672D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9931</wp:posOffset>
            </wp:positionV>
            <wp:extent cx="733476" cy="446228"/>
            <wp:effectExtent l="19050" t="0" r="9474" b="0"/>
            <wp:wrapNone/>
            <wp:docPr id="1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76" cy="44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7AFC">
        <w:rPr>
          <w:rFonts w:ascii="宋体"/>
          <w:b/>
          <w:noProof/>
          <w:sz w:val="22"/>
          <w:szCs w:val="22"/>
        </w:rPr>
        <w:pict>
          <v:shape id="_x0000_s3078" type="#_x0000_t75" style="position:absolute;left:0;text-align:left;margin-left:102.8pt;margin-top:6.35pt;width:60.6pt;height:28.35pt;z-index:251659264;mso-position-horizontal-relative:text;mso-position-vertical-relative:text">
            <v:imagedata r:id="rId9" o:title="杨振国"/>
          </v:shape>
        </w:pict>
      </w:r>
    </w:p>
    <w:p w:rsidR="00AE4B04" w:rsidRDefault="000F317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672D41"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</w:t>
      </w:r>
      <w:r w:rsidR="00672D41"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2D41">
        <w:rPr>
          <w:rFonts w:hint="eastAsia"/>
          <w:b/>
          <w:sz w:val="18"/>
          <w:szCs w:val="18"/>
        </w:rPr>
        <w:t>2020-12-26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 w:rsidR="00672D41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2D41">
        <w:rPr>
          <w:rFonts w:hint="eastAsia"/>
          <w:b/>
          <w:sz w:val="18"/>
          <w:szCs w:val="18"/>
        </w:rPr>
        <w:t>2020-12-26</w:t>
      </w:r>
    </w:p>
    <w:p w:rsidR="00AE4B04" w:rsidRDefault="00672D41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/>
          <w:b/>
          <w:noProof/>
          <w:spacing w:val="-6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6027420</wp:posOffset>
            </wp:positionH>
            <wp:positionV relativeFrom="paragraph">
              <wp:posOffset>8519160</wp:posOffset>
            </wp:positionV>
            <wp:extent cx="769620" cy="360045"/>
            <wp:effectExtent l="19050" t="0" r="0" b="0"/>
            <wp:wrapNone/>
            <wp:docPr id="5" name="图片 5" descr="杨振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杨振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B04" w:rsidRDefault="000F317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C4F" w:rsidRDefault="00926C4F" w:rsidP="00AE4371">
      <w:r>
        <w:separator/>
      </w:r>
    </w:p>
  </w:endnote>
  <w:endnote w:type="continuationSeparator" w:id="1">
    <w:p w:rsidR="00926C4F" w:rsidRDefault="00926C4F" w:rsidP="00AE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C4F" w:rsidRDefault="00926C4F" w:rsidP="00AE4371">
      <w:r>
        <w:separator/>
      </w:r>
    </w:p>
  </w:footnote>
  <w:footnote w:type="continuationSeparator" w:id="1">
    <w:p w:rsidR="00926C4F" w:rsidRDefault="00926C4F" w:rsidP="00AE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C7AFC" w:rsidP="00672D4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C7AF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0F3171" w:rsidRPr="00390345">
      <w:rPr>
        <w:rStyle w:val="CharChar1"/>
        <w:rFonts w:hint="default"/>
      </w:rPr>
      <w:t>北京国标联合认证有限公司</w:t>
    </w:r>
    <w:r w:rsidR="000F3171" w:rsidRPr="00390345">
      <w:rPr>
        <w:rStyle w:val="CharChar1"/>
        <w:rFonts w:hint="default"/>
      </w:rPr>
      <w:tab/>
    </w:r>
    <w:r w:rsidR="000F3171" w:rsidRPr="00390345">
      <w:rPr>
        <w:rStyle w:val="CharChar1"/>
        <w:rFonts w:hint="default"/>
      </w:rPr>
      <w:tab/>
    </w:r>
    <w:r w:rsidR="000F3171">
      <w:rPr>
        <w:rStyle w:val="CharChar1"/>
        <w:rFonts w:hint="default"/>
      </w:rPr>
      <w:tab/>
    </w:r>
  </w:p>
  <w:p w:rsidR="0092500F" w:rsidRDefault="004C7AFC" w:rsidP="00672D4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0F3171" w:rsidP="00672D4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31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26C4F">
    <w:pPr>
      <w:pStyle w:val="a4"/>
    </w:pPr>
  </w:p>
  <w:p w:rsidR="00AE4B04" w:rsidRDefault="00926C4F" w:rsidP="00672D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371"/>
    <w:rsid w:val="000F3171"/>
    <w:rsid w:val="00144367"/>
    <w:rsid w:val="0045674E"/>
    <w:rsid w:val="004C7AFC"/>
    <w:rsid w:val="00506761"/>
    <w:rsid w:val="00672D41"/>
    <w:rsid w:val="00822C70"/>
    <w:rsid w:val="00926C4F"/>
    <w:rsid w:val="00AD0B8A"/>
    <w:rsid w:val="00AE4371"/>
    <w:rsid w:val="00AF3F0F"/>
    <w:rsid w:val="00F22332"/>
    <w:rsid w:val="00F3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2020-12-29T11:01:00Z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