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rFonts w:hint="eastAsia" w:eastAsia="宋体"/>
          <w:b/>
          <w:lang w:val="en-US" w:eastAsia="zh-CN"/>
        </w:rPr>
      </w:pPr>
      <w:r>
        <w:rPr>
          <w:rFonts w:hint="eastAsia"/>
          <w:b/>
          <w:lang w:val="en-US" w:eastAsia="zh-CN"/>
        </w:rPr>
        <w:t>编号：</w:t>
      </w:r>
      <w:r>
        <w:rPr>
          <w:rFonts w:hint="eastAsia" w:ascii="宋体" w:hAnsi="宋体"/>
          <w:b/>
          <w:bCs/>
          <w:kern w:val="0"/>
          <w:szCs w:val="21"/>
          <w:u w:val="none"/>
        </w:rPr>
        <w:t xml:space="preserve"> </w:t>
      </w:r>
      <w:bookmarkStart w:id="0" w:name="合同编号"/>
      <w:r>
        <w:rPr>
          <w:rFonts w:hint="eastAsia" w:ascii="宋体" w:hAnsi="宋体"/>
          <w:b/>
          <w:bCs/>
          <w:kern w:val="0"/>
          <w:szCs w:val="21"/>
          <w:u w:val="none"/>
        </w:rPr>
        <w:t>0534-2019-EO-2020</w:t>
      </w:r>
      <w:bookmarkEnd w:id="0"/>
      <w:r>
        <w:rPr>
          <w:rFonts w:hint="eastAsia" w:ascii="宋体" w:hAnsi="宋体"/>
          <w:b/>
          <w:bCs/>
          <w:kern w:val="0"/>
          <w:szCs w:val="21"/>
          <w:u w:val="none"/>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受审核方：华润雪花啤酒（四川）有限责任公司</w:t>
      </w:r>
      <w:r>
        <w:rPr>
          <w:rFonts w:hint="eastAsia" w:ascii="楷体" w:hAnsi="楷体" w:eastAsia="楷体"/>
          <w:b/>
          <w:color w:val="000000"/>
          <w:sz w:val="32"/>
          <w:szCs w:val="32"/>
          <w:lang w:val="en-US" w:eastAsia="zh-CN"/>
        </w:rPr>
        <w:t>绵阳</w:t>
      </w:r>
      <w:r>
        <w:rPr>
          <w:rFonts w:hint="eastAsia" w:ascii="楷体" w:hAnsi="楷体" w:eastAsia="楷体"/>
          <w:b/>
          <w:color w:val="000000"/>
          <w:sz w:val="32"/>
          <w:szCs w:val="32"/>
        </w:rPr>
        <w:t>分公司</w:t>
      </w:r>
    </w:p>
    <w:p>
      <w:pPr>
        <w:snapToGrid w:val="0"/>
        <w:spacing w:after="98" w:afterLines="30"/>
        <w:ind w:firstLine="321" w:firstLineChars="100"/>
        <w:rPr>
          <w:rFonts w:ascii="楷体" w:hAnsi="楷体" w:eastAsia="楷体"/>
          <w:b/>
          <w:color w:val="000000"/>
          <w:sz w:val="32"/>
          <w:szCs w:val="32"/>
          <w:u w:val="single"/>
        </w:rPr>
      </w:pP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9"/>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E:03.10.05</w:t>
            </w:r>
          </w:p>
          <w:p>
            <w:pPr>
              <w:jc w:val="center"/>
              <w:rPr>
                <w:b/>
                <w:sz w:val="21"/>
                <w:szCs w:val="21"/>
              </w:rPr>
            </w:pPr>
            <w:r>
              <w:rPr>
                <w:b/>
                <w:sz w:val="21"/>
                <w:szCs w:val="21"/>
              </w:rPr>
              <w:t>O:03.10.05</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宋明珠</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2019-N1EMS-1247783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余家龙</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2020-N1EMS-1262293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w:t>
      </w:r>
      <w:r>
        <w:rPr>
          <w:rFonts w:hint="eastAsia"/>
          <w:b/>
          <w:sz w:val="21"/>
          <w:szCs w:val="21"/>
          <w:lang w:val="en-US" w:eastAsia="zh-CN"/>
        </w:rPr>
        <w:t>监督1</w:t>
      </w:r>
      <w:r>
        <w:rPr>
          <w:rFonts w:hint="eastAsia"/>
          <w:b/>
          <w:sz w:val="21"/>
          <w:szCs w:val="21"/>
        </w:rPr>
        <w:t>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lang w:eastAsia="zh-CN"/>
        </w:rPr>
        <w:t>□</w:t>
      </w:r>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9"/>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auto"/>
                <w:sz w:val="21"/>
              </w:rPr>
              <w:t>华润雪花啤酒（四川）有限责任公司绵阳分公司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绵阳市长虹大道南段242号</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610500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绵阳市长虹大道南段242号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610500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绵阳市长虹大道南段242号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610500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张平</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13981149711</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鲍常炜</w:t>
            </w:r>
            <w:bookmarkEnd w:id="20"/>
          </w:p>
        </w:tc>
        <w:tc>
          <w:tcPr>
            <w:tcW w:w="1109" w:type="dxa"/>
            <w:vAlign w:val="center"/>
          </w:tcPr>
          <w:p>
            <w:pPr>
              <w:jc w:val="center"/>
              <w:rPr>
                <w:rFonts w:ascii="宋体" w:hAnsi="宋体"/>
                <w:b/>
                <w:sz w:val="21"/>
                <w:szCs w:val="21"/>
                <w:highlight w:val="none"/>
              </w:rPr>
            </w:pPr>
            <w:r>
              <w:rPr>
                <w:rFonts w:hint="eastAsia" w:ascii="宋体" w:hAnsi="宋体"/>
                <w:b/>
                <w:sz w:val="21"/>
                <w:szCs w:val="21"/>
                <w:highlight w:val="none"/>
              </w:rPr>
              <w:t>总经理</w:t>
            </w:r>
          </w:p>
        </w:tc>
        <w:tc>
          <w:tcPr>
            <w:tcW w:w="1618" w:type="dxa"/>
            <w:gridSpan w:val="2"/>
          </w:tcPr>
          <w:p>
            <w:pPr>
              <w:jc w:val="center"/>
              <w:rPr>
                <w:rFonts w:hint="default" w:ascii="宋体" w:hAnsi="宋体" w:eastAsia="宋体"/>
                <w:b/>
                <w:sz w:val="21"/>
                <w:szCs w:val="21"/>
                <w:highlight w:val="none"/>
                <w:lang w:val="en-US" w:eastAsia="zh-CN"/>
              </w:rPr>
            </w:pPr>
            <w:r>
              <w:rPr>
                <w:rFonts w:hint="eastAsia" w:ascii="宋体" w:hAnsi="宋体"/>
                <w:b/>
                <w:sz w:val="21"/>
                <w:szCs w:val="21"/>
                <w:highlight w:val="none"/>
                <w:lang w:val="en-US" w:eastAsia="zh-CN"/>
              </w:rPr>
              <w:t>郝春生</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徐拥</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2020年12月2</w:t>
            </w:r>
            <w:r>
              <w:rPr>
                <w:rFonts w:hint="eastAsia" w:ascii="宋体" w:hAnsi="宋体"/>
                <w:b/>
                <w:sz w:val="21"/>
                <w:szCs w:val="21"/>
                <w:lang w:val="en-US" w:eastAsia="zh-CN"/>
              </w:rPr>
              <w:t>2</w:t>
            </w:r>
            <w:r>
              <w:rPr>
                <w:rFonts w:ascii="宋体" w:hAnsi="宋体"/>
                <w:b/>
                <w:sz w:val="21"/>
                <w:szCs w:val="21"/>
              </w:rPr>
              <w:t xml:space="preserve">日 </w:t>
            </w:r>
            <w:r>
              <w:rPr>
                <w:rFonts w:hint="eastAsia" w:ascii="宋体" w:hAnsi="宋体"/>
                <w:b/>
                <w:sz w:val="21"/>
                <w:szCs w:val="21"/>
                <w:lang w:val="en-US" w:eastAsia="zh-CN"/>
              </w:rPr>
              <w:t>上</w:t>
            </w:r>
            <w:r>
              <w:rPr>
                <w:rFonts w:ascii="宋体" w:hAnsi="宋体"/>
                <w:b/>
                <w:sz w:val="21"/>
                <w:szCs w:val="21"/>
              </w:rPr>
              <w:t>午至2020年12月2</w:t>
            </w:r>
            <w:r>
              <w:rPr>
                <w:rFonts w:hint="eastAsia" w:ascii="宋体" w:hAnsi="宋体"/>
                <w:b/>
                <w:sz w:val="21"/>
                <w:szCs w:val="21"/>
                <w:lang w:val="en-US" w:eastAsia="zh-CN"/>
              </w:rPr>
              <w:t>3</w:t>
            </w:r>
            <w:r>
              <w:rPr>
                <w:rFonts w:ascii="宋体" w:hAnsi="宋体"/>
                <w:b/>
                <w:sz w:val="21"/>
                <w:szCs w:val="21"/>
              </w:rPr>
              <w:t xml:space="preserve">日 </w:t>
            </w:r>
            <w:r>
              <w:rPr>
                <w:rFonts w:hint="eastAsia" w:ascii="宋体" w:hAnsi="宋体"/>
                <w:b/>
                <w:sz w:val="21"/>
                <w:szCs w:val="21"/>
                <w:lang w:val="en-US" w:eastAsia="zh-CN"/>
              </w:rPr>
              <w:t>上</w:t>
            </w:r>
            <w:r>
              <w:rPr>
                <w:rFonts w:ascii="宋体" w:hAnsi="宋体"/>
                <w:b/>
                <w:sz w:val="21"/>
                <w:szCs w:val="21"/>
              </w:rPr>
              <w:t>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360" w:lineRule="exact"/>
              <w:rPr>
                <w:rFonts w:hint="eastAsia" w:ascii="宋体" w:hAnsi="宋体"/>
                <w:sz w:val="21"/>
                <w:szCs w:val="21"/>
                <w:lang w:eastAsia="zh-CN"/>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rFonts w:hint="eastAsia" w:ascii="宋体" w:hAnsi="宋体"/>
                <w:sz w:val="21"/>
                <w:szCs w:val="21"/>
              </w:rPr>
              <w:t>许可范围内的雪花啤酒的生产涉及的相关环境管理活动</w:t>
            </w:r>
            <w:r>
              <w:rPr>
                <w:rFonts w:hint="eastAsia" w:ascii="宋体" w:hAnsi="宋体"/>
                <w:sz w:val="21"/>
                <w:szCs w:val="21"/>
                <w:lang w:eastAsia="zh-CN"/>
              </w:rPr>
              <w:t>。</w:t>
            </w:r>
          </w:p>
          <w:p>
            <w:pPr>
              <w:spacing w:line="360" w:lineRule="exact"/>
              <w:rPr>
                <w:rFonts w:hint="eastAsia" w:ascii="宋体" w:hAnsi="宋体" w:eastAsia="宋体"/>
                <w:b/>
                <w:sz w:val="21"/>
                <w:szCs w:val="21"/>
                <w:lang w:eastAsia="zh-CN"/>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rFonts w:hint="eastAsia" w:ascii="宋体" w:hAnsi="宋体"/>
                <w:sz w:val="21"/>
                <w:szCs w:val="21"/>
              </w:rPr>
              <w:t>许可范围内的雪花啤酒的生产所涉及的职业健康安全管理活动</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before="62" w:beforeLines="20"/>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p>
            <w:pPr>
              <w:spacing w:before="62" w:beforeLines="20"/>
              <w:rPr>
                <w:rFonts w:hint="eastAsia" w:ascii="宋体" w:hAnsi="宋体" w:eastAsia="宋体" w:cs="Times New Roman"/>
                <w:b/>
                <w:sz w:val="21"/>
                <w:szCs w:val="21"/>
                <w:lang w:val="en-US" w:eastAsia="zh-CN"/>
              </w:rPr>
            </w:pPr>
            <w:r>
              <w:rPr>
                <w:rFonts w:hint="eastAsia"/>
                <w:b/>
                <w:szCs w:val="21"/>
                <w:lang w:val="en-US" w:eastAsia="zh-CN"/>
              </w:rPr>
              <w:t>1、</w:t>
            </w:r>
            <w:r>
              <w:rPr>
                <w:rFonts w:hint="eastAsia" w:ascii="宋体" w:hAnsi="宋体" w:eastAsia="宋体" w:cs="Times New Roman"/>
                <w:b/>
                <w:sz w:val="21"/>
                <w:szCs w:val="21"/>
              </w:rPr>
              <w:t>认证标准变更：原依据标准：</w:t>
            </w:r>
            <w:r>
              <w:rPr>
                <w:rFonts w:hint="eastAsia" w:ascii="宋体" w:hAnsi="宋体" w:eastAsia="宋体" w:cs="Times New Roman"/>
                <w:b/>
                <w:sz w:val="21"/>
                <w:szCs w:val="21"/>
                <w:lang w:val="de-DE"/>
              </w:rPr>
              <w:t>GB/T 28001-2011 idt OHSMS 18001:2007标准</w:t>
            </w:r>
            <w:r>
              <w:rPr>
                <w:rFonts w:hint="eastAsia" w:ascii="宋体" w:hAnsi="宋体" w:eastAsia="宋体" w:cs="Times New Roman"/>
                <w:b/>
                <w:sz w:val="21"/>
                <w:szCs w:val="21"/>
                <w:lang w:val="en-US" w:eastAsia="zh-CN"/>
              </w:rPr>
              <w:t>；</w:t>
            </w:r>
          </w:p>
          <w:p>
            <w:pPr>
              <w:spacing w:before="62" w:beforeLines="20"/>
              <w:ind w:firstLine="1897" w:firstLineChars="900"/>
              <w:rPr>
                <w:rFonts w:hint="eastAsia" w:ascii="宋体" w:hAnsi="宋体" w:eastAsia="宋体" w:cs="Times New Roman"/>
                <w:b/>
                <w:sz w:val="21"/>
                <w:szCs w:val="21"/>
                <w:lang w:eastAsia="zh-CN"/>
              </w:rPr>
            </w:pPr>
            <w:r>
              <w:rPr>
                <w:rFonts w:hint="eastAsia" w:ascii="宋体" w:hAnsi="宋体" w:eastAsia="宋体" w:cs="Times New Roman"/>
                <w:b/>
                <w:sz w:val="21"/>
                <w:szCs w:val="21"/>
              </w:rPr>
              <w:t>现依据标准为：GB/T45001-2020 / ISO45001：2018</w:t>
            </w:r>
            <w:r>
              <w:rPr>
                <w:rFonts w:hint="eastAsia" w:ascii="宋体" w:hAnsi="宋体" w:eastAsia="宋体" w:cs="Times New Roman"/>
                <w:b/>
                <w:sz w:val="21"/>
                <w:szCs w:val="21"/>
                <w:lang w:eastAsia="zh-CN"/>
              </w:rPr>
              <w:t>。</w:t>
            </w:r>
          </w:p>
          <w:p>
            <w:pPr>
              <w:spacing w:line="360" w:lineRule="exact"/>
              <w:rPr>
                <w:rFonts w:ascii="宋体" w:hAnsi="宋体"/>
                <w:b/>
                <w:sz w:val="21"/>
                <w:szCs w:val="21"/>
              </w:rPr>
            </w:pP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E：03.10.05</w:t>
            </w:r>
          </w:p>
          <w:p>
            <w:pPr>
              <w:spacing w:line="260" w:lineRule="exact"/>
              <w:rPr>
                <w:rFonts w:ascii="宋体" w:hAnsi="宋体"/>
                <w:b/>
                <w:sz w:val="21"/>
                <w:szCs w:val="21"/>
              </w:rPr>
            </w:pPr>
            <w:r>
              <w:rPr>
                <w:rFonts w:ascii="宋体" w:hAnsi="宋体"/>
                <w:b/>
                <w:sz w:val="21"/>
                <w:szCs w:val="21"/>
              </w:rPr>
              <w:t>O：03.10.05</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b/>
                <w:sz w:val="21"/>
                <w:szCs w:val="21"/>
                <w:lang w:val="en-US"/>
              </w:rPr>
            </w:pPr>
            <w:r>
              <w:rPr>
                <w:rFonts w:hint="eastAsia" w:ascii="宋体" w:hAnsi="宋体"/>
                <w:b/>
                <w:sz w:val="21"/>
                <w:szCs w:val="21"/>
                <w:highlight w:val="none"/>
                <w:lang w:val="en-US" w:eastAsia="zh-CN"/>
              </w:rPr>
              <w:t>2022年12月17日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b/>
                <w:sz w:val="20"/>
              </w:rPr>
              <w:t>2019年11月30日</w:t>
            </w:r>
            <w:r>
              <w:rPr>
                <w:rFonts w:hint="eastAsia"/>
                <w:b/>
                <w:sz w:val="20"/>
                <w:lang w:val="en-US" w:eastAsia="zh-CN"/>
              </w:rPr>
              <w:t>至12月2日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2019年12月2日</w:t>
      </w:r>
      <w:r>
        <w:rPr>
          <w:rFonts w:hint="eastAsia" w:ascii="宋体" w:hAnsi="宋体"/>
          <w:b/>
          <w:sz w:val="21"/>
          <w:szCs w:val="21"/>
        </w:rPr>
        <w:t>至</w:t>
      </w:r>
      <w:r>
        <w:rPr>
          <w:rFonts w:hint="eastAsia" w:ascii="宋体" w:hAnsi="宋体"/>
          <w:b/>
          <w:sz w:val="21"/>
          <w:szCs w:val="21"/>
          <w:lang w:val="en-US" w:eastAsia="zh-CN"/>
        </w:rPr>
        <w:t>2020年12月23日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Times New Roman"/>
                <w:b/>
                <w:kern w:val="2"/>
                <w:sz w:val="21"/>
                <w:szCs w:val="21"/>
                <w:lang w:val="en-US" w:eastAsia="zh-CN" w:bidi="ar-SA"/>
              </w:rPr>
            </w:pPr>
            <w:r>
              <w:rPr>
                <w:rFonts w:hint="eastAsia" w:ascii="宋体" w:hAnsi="宋体" w:eastAsia="宋体" w:cs="Times New Roman"/>
                <w:sz w:val="21"/>
                <w:szCs w:val="21"/>
              </w:rPr>
              <w:t>华润雪花啤酒（四川）有限</w:t>
            </w:r>
            <w:r>
              <w:rPr>
                <w:rFonts w:hint="eastAsia" w:ascii="宋体" w:hAnsi="宋体" w:eastAsia="宋体" w:cs="Times New Roman"/>
                <w:sz w:val="21"/>
                <w:szCs w:val="21"/>
                <w:highlight w:val="none"/>
              </w:rPr>
              <w:t>责任公司</w:t>
            </w:r>
            <w:r>
              <w:rPr>
                <w:rFonts w:hint="eastAsia" w:ascii="宋体" w:hAnsi="宋体" w:eastAsia="宋体" w:cs="Times New Roman"/>
                <w:sz w:val="21"/>
                <w:szCs w:val="21"/>
                <w:highlight w:val="none"/>
                <w:lang w:val="en-US" w:eastAsia="zh-CN"/>
              </w:rPr>
              <w:t>绵阳</w:t>
            </w:r>
            <w:r>
              <w:rPr>
                <w:rFonts w:hint="eastAsia" w:ascii="宋体" w:hAnsi="宋体" w:eastAsia="宋体" w:cs="Times New Roman"/>
                <w:sz w:val="21"/>
                <w:szCs w:val="21"/>
                <w:highlight w:val="none"/>
              </w:rPr>
              <w:t>分公司，占地面积</w:t>
            </w:r>
            <w:r>
              <w:rPr>
                <w:rFonts w:hint="eastAsia" w:ascii="宋体" w:hAnsi="宋体" w:cs="Times New Roman"/>
                <w:sz w:val="21"/>
                <w:szCs w:val="21"/>
                <w:highlight w:val="none"/>
                <w:lang w:val="en-US" w:eastAsia="zh-CN"/>
              </w:rPr>
              <w:t>20</w:t>
            </w:r>
            <w:r>
              <w:rPr>
                <w:rFonts w:hint="eastAsia" w:ascii="宋体" w:hAnsi="宋体" w:eastAsia="宋体" w:cs="Times New Roman"/>
                <w:sz w:val="21"/>
                <w:szCs w:val="21"/>
                <w:highlight w:val="none"/>
              </w:rPr>
              <w:t>万平方米，公</w:t>
            </w:r>
            <w:r>
              <w:rPr>
                <w:rFonts w:hint="eastAsia" w:ascii="宋体" w:hAnsi="宋体" w:eastAsia="宋体" w:cs="Times New Roman"/>
                <w:sz w:val="21"/>
                <w:szCs w:val="21"/>
              </w:rPr>
              <w:t>司现有职工</w:t>
            </w:r>
            <w:r>
              <w:rPr>
                <w:rFonts w:hint="eastAsia" w:ascii="宋体" w:hAnsi="宋体" w:eastAsia="宋体" w:cs="Times New Roman"/>
                <w:sz w:val="21"/>
                <w:szCs w:val="21"/>
                <w:lang w:val="en-US" w:eastAsia="zh-CN"/>
              </w:rPr>
              <w:t>148</w:t>
            </w:r>
            <w:r>
              <w:rPr>
                <w:rFonts w:hint="eastAsia" w:ascii="宋体" w:hAnsi="宋体" w:eastAsia="宋体" w:cs="Times New Roman"/>
                <w:sz w:val="21"/>
                <w:szCs w:val="21"/>
              </w:rPr>
              <w:t>人，年啤酒生产综合能力20万千升。公司拥有一批具有较强经验的啤酒生产所需各类专业人员</w:t>
            </w:r>
            <w:r>
              <w:rPr>
                <w:rFonts w:hint="eastAsia" w:ascii="宋体" w:hAnsi="宋体" w:eastAsia="宋体" w:cs="Times New Roman"/>
                <w:sz w:val="21"/>
                <w:szCs w:val="21"/>
                <w:lang w:eastAsia="zh-CN"/>
              </w:rPr>
              <w:t>，</w:t>
            </w:r>
            <w:r>
              <w:rPr>
                <w:rFonts w:hint="eastAsia" w:ascii="宋体" w:hAnsi="宋体" w:cs="Times New Roman"/>
                <w:sz w:val="21"/>
                <w:szCs w:val="21"/>
                <w:highlight w:val="none"/>
              </w:rPr>
              <w:t>经营状况</w:t>
            </w:r>
            <w:r>
              <w:rPr>
                <w:rFonts w:hint="eastAsia" w:ascii="宋体" w:hAnsi="宋体" w:cs="Times New Roman"/>
                <w:sz w:val="21"/>
                <w:szCs w:val="21"/>
              </w:rPr>
              <w:t>良好。组织对内外部因素、相关方需求和期望进行了充分的识别，策划和实施有效。确定了体系的边界，基本适用。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left="0" w:leftChars="0" w:firstLine="0" w:firstLineChars="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211" w:firstLineChars="100"/>
              <w:textAlignment w:val="auto"/>
              <w:rPr>
                <w:rFonts w:hint="eastAsia" w:ascii="宋体" w:hAnsi="宋体" w:cs="宋体"/>
                <w:color w:val="000000"/>
                <w:sz w:val="21"/>
                <w:szCs w:val="21"/>
              </w:rPr>
            </w:pPr>
            <w:r>
              <w:rPr>
                <w:rFonts w:ascii="宋体" w:hAnsi="宋体"/>
                <w:b/>
                <w:sz w:val="21"/>
                <w:szCs w:val="21"/>
              </w:rPr>
              <w:t>3.</w:t>
            </w:r>
            <w:r>
              <w:rPr>
                <w:rFonts w:hint="eastAsia" w:ascii="宋体" w:hAnsi="宋体"/>
                <w:b/>
                <w:sz w:val="21"/>
                <w:szCs w:val="21"/>
              </w:rPr>
              <w:t>□质量</w:t>
            </w:r>
            <w:r>
              <w:rPr>
                <w:rFonts w:ascii="宋体" w:hAnsi="宋体"/>
                <w:b/>
                <w:sz w:val="21"/>
                <w:szCs w:val="21"/>
              </w:rPr>
              <w:t>/</w:t>
            </w:r>
            <w:r>
              <w:rPr>
                <w:rFonts w:hint="eastAsia" w:ascii="宋体" w:hAnsi="宋体" w:cs="宋体"/>
                <w:color w:val="000000"/>
                <w:sz w:val="21"/>
                <w:szCs w:val="21"/>
                <w:lang w:eastAsia="zh-CN"/>
              </w:rPr>
              <w:t>■</w:t>
            </w:r>
            <w:r>
              <w:rPr>
                <w:rFonts w:hint="eastAsia" w:ascii="宋体" w:hAnsi="宋体" w:cs="宋体"/>
                <w:color w:val="000000"/>
                <w:sz w:val="21"/>
                <w:szCs w:val="21"/>
              </w:rPr>
              <w:t>环境/</w:t>
            </w:r>
            <w:r>
              <w:rPr>
                <w:rFonts w:hint="eastAsia" w:ascii="宋体" w:hAnsi="宋体" w:cs="宋体"/>
                <w:color w:val="000000"/>
                <w:sz w:val="21"/>
                <w:szCs w:val="21"/>
                <w:lang w:eastAsia="zh-CN"/>
              </w:rPr>
              <w:t>■</w:t>
            </w:r>
            <w:r>
              <w:rPr>
                <w:rFonts w:hint="eastAsia" w:ascii="宋体" w:hAnsi="宋体" w:cs="宋体"/>
                <w:color w:val="000000"/>
                <w:sz w:val="21"/>
                <w:szCs w:val="21"/>
              </w:rPr>
              <w:t>职业健康安全方针（组织方针的适宜性/持续适宜性、方针的传达及职工的理解等）</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eastAsia="宋体" w:cs="宋体"/>
                <w:color w:val="000000"/>
                <w:sz w:val="21"/>
                <w:szCs w:val="21"/>
              </w:rPr>
            </w:pPr>
            <w:r>
              <w:rPr>
                <w:rFonts w:hint="eastAsia" w:ascii="宋体" w:hAnsi="宋体" w:cs="宋体"/>
                <w:color w:val="000000"/>
                <w:sz w:val="21"/>
                <w:szCs w:val="21"/>
              </w:rPr>
              <w:t>组织</w:t>
            </w:r>
            <w:r>
              <w:rPr>
                <w:rFonts w:hint="eastAsia" w:ascii="宋体" w:hAnsi="宋体" w:eastAsia="宋体" w:cs="宋体"/>
                <w:color w:val="000000"/>
                <w:sz w:val="21"/>
                <w:szCs w:val="21"/>
              </w:rPr>
              <w:t>的环境和职业健康安全管理方针： “以人为本   关爱生命  保护环境  珍惜资源  和谐发展”。</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ascii="宋体" w:hAnsi="宋体"/>
                <w:b/>
                <w:sz w:val="21"/>
                <w:szCs w:val="21"/>
              </w:rPr>
            </w:pPr>
            <w:r>
              <w:rPr>
                <w:rFonts w:hint="eastAsia" w:ascii="宋体" w:hAnsi="宋体" w:cs="宋体"/>
                <w:color w:val="000000"/>
                <w:sz w:val="21"/>
                <w:szCs w:val="21"/>
              </w:rPr>
              <w:t>最高管理者组织制定了方针：现行的</w:t>
            </w:r>
            <w:r>
              <w:rPr>
                <w:rFonts w:hint="eastAsia"/>
                <w:sz w:val="21"/>
                <w:szCs w:val="21"/>
              </w:rPr>
              <w:t>环境、安全</w:t>
            </w:r>
            <w:r>
              <w:rPr>
                <w:rFonts w:hint="eastAsia" w:ascii="宋体" w:hAnsi="宋体" w:cs="宋体"/>
                <w:color w:val="000000"/>
                <w:sz w:val="21"/>
                <w:szCs w:val="21"/>
              </w:rPr>
              <w:t>方针在</w:t>
            </w:r>
            <w:r>
              <w:rPr>
                <w:rFonts w:hint="eastAsia" w:ascii="宋体" w:hAnsi="宋体" w:cs="宋体"/>
                <w:color w:val="000000"/>
                <w:sz w:val="21"/>
                <w:szCs w:val="21"/>
                <w:lang w:eastAsia="zh-CN"/>
              </w:rPr>
              <w:t>管理</w:t>
            </w:r>
            <w:r>
              <w:rPr>
                <w:rFonts w:hint="eastAsia" w:ascii="宋体" w:hAnsi="宋体" w:cs="宋体"/>
                <w:color w:val="000000"/>
                <w:sz w:val="21"/>
                <w:szCs w:val="21"/>
              </w:rPr>
              <w:t>手册有专门的释议，具备适宜性。通过会议、张贴等方式进行传达宣贯，管理绩效表明其方针能够通过管理体系加以有效实施、实现及动态管理，实际未发生变更</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0" w:leftChars="0" w:firstLine="0" w:firstLineChars="0"/>
              <w:rPr>
                <w:rFonts w:hint="eastAsia" w:ascii="宋体" w:hAnsi="宋体" w:eastAsia="宋体" w:cs="Times New Roman"/>
                <w:b/>
                <w:kern w:val="2"/>
                <w:sz w:val="21"/>
                <w:szCs w:val="21"/>
                <w:lang w:val="en-US" w:eastAsia="zh-CN" w:bidi="ar-SA"/>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1" o:spid="_x0000_s2051"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eastAsia="宋体" w:cs="宋体"/>
                <w:color w:val="000000" w:themeColor="text1"/>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废水控制、噪声控制、粉尘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eastAsia="宋体" w:cs="宋体"/>
                <w:color w:val="000000" w:themeColor="text1"/>
                <w:sz w:val="21"/>
                <w:szCs w:val="21"/>
              </w:rPr>
              <w:t>组织建立了危险源识别、评价控制程序，识别评价了危险源、风险相关的过程，评价出了重要危险源，与之相关的过程有啤酒生产、检测，针对重要危险源制定了管理方案。控制措施实施有效。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6"/>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6"/>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6"/>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6"/>
              <w:numPr>
                <w:ilvl w:val="0"/>
                <w:numId w:val="2"/>
              </w:numPr>
              <w:tabs>
                <w:tab w:val="left" w:pos="540"/>
              </w:tabs>
              <w:spacing w:line="300" w:lineRule="exact"/>
              <w:ind w:firstLineChars="0"/>
              <w:rPr>
                <w:rFonts w:ascii="宋体" w:hAnsi="宋体" w:eastAsia="宋体" w:cs="Times New Roman"/>
                <w:b/>
                <w:kern w:val="2"/>
                <w:sz w:val="21"/>
                <w:szCs w:val="21"/>
                <w:lang w:val="en-US" w:eastAsia="zh-CN" w:bidi="ar-SA"/>
              </w:rPr>
            </w:pPr>
            <w:r>
              <w:rPr>
                <w:rFonts w:hint="eastAsia" w:ascii="宋体" w:hAnsi="宋体"/>
                <w:b/>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hint="eastAsia"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sz w:val="21"/>
                <w:szCs w:val="21"/>
              </w:rPr>
            </w:pPr>
            <w:r>
              <w:rPr>
                <w:rFonts w:hint="eastAsia"/>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ind w:firstLine="525" w:firstLineChars="250"/>
              <w:rPr>
                <w:rFonts w:hint="default" w:eastAsia="宋体"/>
                <w:sz w:val="21"/>
                <w:szCs w:val="21"/>
                <w:highlight w:val="none"/>
                <w:lang w:val="en-US" w:eastAsia="zh-CN"/>
              </w:rPr>
            </w:pPr>
            <w:r>
              <w:rPr>
                <w:rFonts w:hint="eastAsia"/>
                <w:sz w:val="21"/>
                <w:szCs w:val="21"/>
                <w:highlight w:val="none"/>
              </w:rPr>
              <w:t>环境、职业健康安全目标：</w:t>
            </w:r>
            <w:r>
              <w:rPr>
                <w:rFonts w:hint="eastAsia"/>
                <w:sz w:val="21"/>
                <w:szCs w:val="21"/>
                <w:highlight w:val="none"/>
                <w:lang w:eastAsia="zh-CN"/>
              </w:rPr>
              <w:t>（考核时间</w:t>
            </w:r>
            <w:r>
              <w:rPr>
                <w:rFonts w:hint="eastAsia"/>
                <w:sz w:val="21"/>
                <w:szCs w:val="21"/>
                <w:highlight w:val="none"/>
                <w:lang w:val="en-US" w:eastAsia="zh-CN"/>
              </w:rPr>
              <w:t>2020年1月-11 月）</w:t>
            </w:r>
          </w:p>
          <w:p>
            <w:pPr>
              <w:snapToGrid w:val="0"/>
              <w:rPr>
                <w:rFonts w:hint="default" w:ascii="宋体" w:hAnsi="宋体" w:eastAsia="宋体" w:cs="宋体"/>
                <w:b w:val="0"/>
                <w:bCs w:val="0"/>
                <w:kern w:val="0"/>
                <w:sz w:val="21"/>
                <w:szCs w:val="21"/>
                <w:highlight w:val="none"/>
                <w:lang w:val="en-US" w:eastAsia="zh-CN"/>
              </w:rPr>
            </w:pPr>
            <w:r>
              <w:rPr>
                <w:rFonts w:hint="eastAsia" w:ascii="宋体" w:hAnsi="宋体" w:cs="宋体"/>
                <w:b w:val="0"/>
                <w:bCs w:val="0"/>
                <w:kern w:val="0"/>
                <w:sz w:val="21"/>
                <w:szCs w:val="21"/>
                <w:highlight w:val="none"/>
              </w:rPr>
              <w:t>1、</w:t>
            </w:r>
            <w:r>
              <w:rPr>
                <w:rFonts w:hint="eastAsia"/>
                <w:b w:val="0"/>
                <w:bCs w:val="0"/>
                <w:sz w:val="21"/>
                <w:szCs w:val="21"/>
                <w:highlight w:val="none"/>
                <w:lang w:val="en-US" w:eastAsia="zh-CN"/>
              </w:rPr>
              <w:t>粉尘排放达标</w:t>
            </w:r>
            <w:r>
              <w:rPr>
                <w:rFonts w:hint="eastAsia" w:ascii="宋体" w:hAnsi="宋体" w:cs="宋体"/>
                <w:b w:val="0"/>
                <w:bCs w:val="0"/>
                <w:kern w:val="0"/>
                <w:sz w:val="21"/>
                <w:szCs w:val="21"/>
                <w:highlight w:val="none"/>
              </w:rPr>
              <w:t>；</w:t>
            </w:r>
            <w:r>
              <w:rPr>
                <w:rFonts w:hint="eastAsia" w:ascii="宋体" w:hAnsi="宋体" w:cs="宋体"/>
                <w:b w:val="0"/>
                <w:bCs w:val="0"/>
                <w:kern w:val="0"/>
                <w:sz w:val="21"/>
                <w:szCs w:val="21"/>
                <w:highlight w:val="none"/>
                <w:lang w:val="en-US" w:eastAsia="zh-CN"/>
              </w:rPr>
              <w:t xml:space="preserve">                             符合标准</w:t>
            </w:r>
          </w:p>
          <w:p>
            <w:pPr>
              <w:snapToGrid w:val="0"/>
              <w:rPr>
                <w:rFonts w:hint="default" w:ascii="宋体" w:hAnsi="宋体" w:cs="宋体"/>
                <w:b w:val="0"/>
                <w:bCs w:val="0"/>
                <w:kern w:val="0"/>
                <w:sz w:val="21"/>
                <w:szCs w:val="21"/>
                <w:highlight w:val="none"/>
                <w:lang w:val="en-US"/>
              </w:rPr>
            </w:pPr>
            <w:r>
              <w:rPr>
                <w:rFonts w:hint="eastAsia" w:ascii="宋体" w:hAnsi="宋体" w:cs="宋体"/>
                <w:b w:val="0"/>
                <w:bCs w:val="0"/>
                <w:kern w:val="0"/>
                <w:sz w:val="21"/>
                <w:szCs w:val="21"/>
                <w:highlight w:val="none"/>
              </w:rPr>
              <w:t>2、</w:t>
            </w:r>
            <w:r>
              <w:rPr>
                <w:rFonts w:hint="eastAsia"/>
                <w:b w:val="0"/>
                <w:bCs w:val="0"/>
                <w:sz w:val="21"/>
                <w:szCs w:val="21"/>
                <w:highlight w:val="none"/>
                <w:lang w:eastAsia="zh-CN"/>
              </w:rPr>
              <w:t>废水排放达标</w:t>
            </w:r>
            <w:r>
              <w:rPr>
                <w:rFonts w:hint="eastAsia"/>
                <w:b w:val="0"/>
                <w:bCs w:val="0"/>
                <w:sz w:val="21"/>
                <w:szCs w:val="21"/>
                <w:highlight w:val="none"/>
                <w:lang w:val="en-US" w:eastAsia="zh-CN"/>
              </w:rPr>
              <w:t>；                             符合标准</w:t>
            </w:r>
          </w:p>
          <w:p>
            <w:pPr>
              <w:snapToGrid w:val="0"/>
              <w:rPr>
                <w:rFonts w:hint="default"/>
                <w:b w:val="0"/>
                <w:bCs w:val="0"/>
                <w:sz w:val="21"/>
                <w:szCs w:val="21"/>
                <w:highlight w:val="none"/>
                <w:lang w:val="en-US" w:eastAsia="zh-CN"/>
              </w:rPr>
            </w:pPr>
            <w:r>
              <w:rPr>
                <w:rFonts w:hint="eastAsia" w:ascii="宋体" w:hAnsi="宋体" w:cs="宋体"/>
                <w:b w:val="0"/>
                <w:bCs w:val="0"/>
                <w:kern w:val="0"/>
                <w:sz w:val="21"/>
                <w:szCs w:val="21"/>
                <w:highlight w:val="none"/>
              </w:rPr>
              <w:t>3、</w:t>
            </w:r>
            <w:r>
              <w:rPr>
                <w:rFonts w:hint="eastAsia"/>
                <w:b w:val="0"/>
                <w:bCs w:val="0"/>
                <w:sz w:val="21"/>
                <w:szCs w:val="21"/>
                <w:highlight w:val="none"/>
                <w:lang w:val="en-US" w:eastAsia="zh-CN"/>
              </w:rPr>
              <w:t xml:space="preserve">噪声排放达标；                             符合标准                            </w:t>
            </w:r>
          </w:p>
          <w:p>
            <w:pPr>
              <w:snapToGrid w:val="0"/>
              <w:rPr>
                <w:rFonts w:hint="default"/>
                <w:b w:val="0"/>
                <w:bCs w:val="0"/>
                <w:sz w:val="21"/>
                <w:szCs w:val="21"/>
                <w:highlight w:val="none"/>
                <w:lang w:val="en-US" w:eastAsia="zh-CN"/>
              </w:rPr>
            </w:pPr>
            <w:r>
              <w:rPr>
                <w:rFonts w:hint="eastAsia"/>
                <w:b w:val="0"/>
                <w:bCs w:val="0"/>
                <w:sz w:val="21"/>
                <w:szCs w:val="21"/>
                <w:highlight w:val="none"/>
                <w:lang w:val="en-US" w:eastAsia="zh-CN"/>
              </w:rPr>
              <w:t>4、</w:t>
            </w:r>
            <w:r>
              <w:rPr>
                <w:rFonts w:hint="eastAsia"/>
                <w:b w:val="0"/>
                <w:bCs w:val="0"/>
                <w:sz w:val="21"/>
                <w:szCs w:val="21"/>
                <w:highlight w:val="none"/>
              </w:rPr>
              <w:t>固体废弃物合理处置</w:t>
            </w:r>
            <w:r>
              <w:rPr>
                <w:rFonts w:hint="eastAsia"/>
                <w:b w:val="0"/>
                <w:bCs w:val="0"/>
                <w:sz w:val="21"/>
                <w:szCs w:val="21"/>
                <w:highlight w:val="none"/>
                <w:lang w:val="en-US" w:eastAsia="zh-CN"/>
              </w:rPr>
              <w:t>；                        100%</w:t>
            </w:r>
          </w:p>
          <w:p>
            <w:pPr>
              <w:snapToGrid w:val="0"/>
              <w:rPr>
                <w:rFonts w:hint="default"/>
                <w:b w:val="0"/>
                <w:bCs w:val="0"/>
                <w:sz w:val="21"/>
                <w:szCs w:val="21"/>
                <w:highlight w:val="none"/>
                <w:lang w:val="en-US" w:eastAsia="zh-CN"/>
              </w:rPr>
            </w:pPr>
            <w:r>
              <w:rPr>
                <w:rFonts w:hint="eastAsia"/>
                <w:b w:val="0"/>
                <w:bCs w:val="0"/>
                <w:sz w:val="21"/>
                <w:szCs w:val="21"/>
                <w:highlight w:val="none"/>
                <w:lang w:val="en-US" w:eastAsia="zh-CN"/>
              </w:rPr>
              <w:t>5、</w:t>
            </w:r>
            <w:r>
              <w:rPr>
                <w:rFonts w:hint="eastAsia"/>
                <w:b w:val="0"/>
                <w:bCs w:val="0"/>
                <w:sz w:val="21"/>
                <w:szCs w:val="21"/>
                <w:highlight w:val="none"/>
              </w:rPr>
              <w:t>死亡、重伤事故为0</w:t>
            </w:r>
            <w:r>
              <w:rPr>
                <w:rFonts w:hint="eastAsia"/>
                <w:b w:val="0"/>
                <w:bCs w:val="0"/>
                <w:sz w:val="21"/>
                <w:szCs w:val="21"/>
                <w:highlight w:val="none"/>
                <w:lang w:val="en-US" w:eastAsia="zh-CN"/>
              </w:rPr>
              <w:t>；                     未发生死亡、重伤事故</w:t>
            </w:r>
          </w:p>
          <w:p>
            <w:pPr>
              <w:snapToGrid w:val="0"/>
              <w:rPr>
                <w:rFonts w:hint="default"/>
                <w:b w:val="0"/>
                <w:bCs w:val="0"/>
                <w:sz w:val="21"/>
                <w:szCs w:val="21"/>
                <w:highlight w:val="none"/>
                <w:lang w:val="en-US" w:eastAsia="zh-CN"/>
              </w:rPr>
            </w:pPr>
            <w:r>
              <w:rPr>
                <w:rFonts w:hint="eastAsia"/>
                <w:b w:val="0"/>
                <w:bCs w:val="0"/>
                <w:sz w:val="21"/>
                <w:szCs w:val="21"/>
                <w:highlight w:val="none"/>
                <w:lang w:val="en-US" w:eastAsia="zh-CN"/>
              </w:rPr>
              <w:t>6、员工无职业病发生；                        无职业病例发生</w:t>
            </w:r>
          </w:p>
          <w:p>
            <w:pPr>
              <w:snapToGrid w:val="0"/>
              <w:rPr>
                <w:rFonts w:hint="default" w:eastAsia="宋体"/>
                <w:b w:val="0"/>
                <w:bCs w:val="0"/>
                <w:sz w:val="21"/>
                <w:szCs w:val="21"/>
                <w:highlight w:val="none"/>
                <w:lang w:val="en-US" w:eastAsia="zh-CN"/>
              </w:rPr>
            </w:pPr>
            <w:r>
              <w:rPr>
                <w:rFonts w:hint="eastAsia"/>
                <w:b w:val="0"/>
                <w:bCs w:val="0"/>
                <w:sz w:val="21"/>
                <w:szCs w:val="21"/>
                <w:highlight w:val="none"/>
                <w:lang w:val="en-US" w:eastAsia="zh-CN"/>
              </w:rPr>
              <w:t>7、</w:t>
            </w:r>
            <w:r>
              <w:rPr>
                <w:rFonts w:hint="eastAsia"/>
                <w:b w:val="0"/>
                <w:bCs w:val="0"/>
                <w:sz w:val="21"/>
                <w:szCs w:val="21"/>
                <w:highlight w:val="none"/>
              </w:rPr>
              <w:t>全年无火灾事故</w:t>
            </w:r>
            <w:r>
              <w:rPr>
                <w:rFonts w:hint="eastAsia"/>
                <w:b w:val="0"/>
                <w:bCs w:val="0"/>
                <w:sz w:val="21"/>
                <w:szCs w:val="21"/>
                <w:highlight w:val="none"/>
                <w:lang w:eastAsia="zh-CN"/>
              </w:rPr>
              <w:t>；</w:t>
            </w:r>
            <w:r>
              <w:rPr>
                <w:rFonts w:hint="eastAsia"/>
                <w:b w:val="0"/>
                <w:bCs w:val="0"/>
                <w:sz w:val="21"/>
                <w:szCs w:val="21"/>
                <w:highlight w:val="none"/>
                <w:lang w:val="en-US" w:eastAsia="zh-CN"/>
              </w:rPr>
              <w:t xml:space="preserve">                         暂无火灾事故发生。</w:t>
            </w:r>
          </w:p>
          <w:p>
            <w:pPr>
              <w:rPr>
                <w:rFonts w:hint="default"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cs="宋体"/>
                <w:color w:val="000000" w:themeColor="text1"/>
                <w:sz w:val="21"/>
                <w:szCs w:val="21"/>
              </w:rPr>
              <w:t>公司按照申请认证的标准要求，建立并形成了文件化的</w:t>
            </w:r>
            <w:r>
              <w:rPr>
                <w:rFonts w:hint="eastAsia" w:ascii="宋体" w:hAnsi="宋体"/>
                <w:color w:val="000000" w:themeColor="text1"/>
                <w:sz w:val="21"/>
                <w:szCs w:val="21"/>
              </w:rPr>
              <w:t>环境和职业健康安全</w:t>
            </w:r>
            <w:r>
              <w:rPr>
                <w:rFonts w:hint="eastAsia" w:ascii="宋体" w:hAnsi="宋体" w:cs="宋体"/>
                <w:color w:val="000000" w:themeColor="text1"/>
                <w:sz w:val="21"/>
                <w:szCs w:val="21"/>
              </w:rPr>
              <w:t>管理体系，体系文件对管理体系各过程进行了识别确定、明确了各要素间的相互关系及其管控要求。公司体系文件于</w:t>
            </w:r>
            <w:r>
              <w:rPr>
                <w:rFonts w:hint="eastAsia" w:ascii="宋体" w:hAnsi="宋体" w:cs="Arial"/>
                <w:color w:val="000000" w:themeColor="text1"/>
                <w:sz w:val="21"/>
                <w:szCs w:val="21"/>
              </w:rPr>
              <w:t>2019</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5</w:t>
            </w:r>
            <w:r>
              <w:rPr>
                <w:rFonts w:hint="eastAsia" w:ascii="宋体" w:hAnsi="宋体" w:cs="宋体"/>
                <w:color w:val="000000" w:themeColor="text1"/>
                <w:sz w:val="21"/>
                <w:szCs w:val="21"/>
              </w:rPr>
              <w:t>月</w:t>
            </w:r>
            <w:r>
              <w:rPr>
                <w:rFonts w:hint="eastAsia" w:ascii="宋体" w:hAnsi="宋体" w:cs="宋体"/>
                <w:color w:val="000000" w:themeColor="text1"/>
                <w:sz w:val="21"/>
                <w:szCs w:val="21"/>
                <w:lang w:val="en-US" w:eastAsia="zh-CN"/>
              </w:rPr>
              <w:t>25</w:t>
            </w:r>
            <w:r>
              <w:rPr>
                <w:rFonts w:hint="eastAsia" w:ascii="宋体" w:hAnsi="宋体" w:cs="宋体"/>
                <w:color w:val="000000" w:themeColor="text1"/>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tabs>
                <w:tab w:val="left" w:pos="2552"/>
              </w:tabs>
              <w:spacing w:line="0" w:lineRule="atLeast"/>
              <w:ind w:firstLine="420" w:firstLineChars="200"/>
              <w:rPr>
                <w:rFonts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rFonts w:hint="eastAsia"/>
                <w:sz w:val="21"/>
                <w:szCs w:val="21"/>
              </w:rPr>
              <w:t>啤酒生产</w:t>
            </w:r>
            <w:r>
              <w:rPr>
                <w:rFonts w:hint="eastAsia" w:ascii="宋体" w:hAnsi="宋体"/>
                <w:bCs/>
                <w:iCs/>
                <w:sz w:val="21"/>
                <w:szCs w:val="21"/>
              </w:rPr>
              <w:t>及相关服务运行环境，可以维持管理体系的正常运行。</w:t>
            </w:r>
          </w:p>
          <w:p>
            <w:pPr>
              <w:spacing w:line="300" w:lineRule="exact"/>
              <w:rPr>
                <w:rFonts w:ascii="宋体" w:hAnsi="宋体" w:eastAsia="宋体" w:cs="Times New Roman"/>
                <w:b/>
                <w:color w:val="000000" w:themeColor="text1"/>
                <w:kern w:val="2"/>
                <w:sz w:val="21"/>
                <w:szCs w:val="21"/>
                <w:lang w:val="en-US" w:eastAsia="zh-CN" w:bidi="ar-SA"/>
              </w:rPr>
            </w:pPr>
            <w:r>
              <w:rPr>
                <w:rFonts w:hint="eastAsia" w:ascii="宋体" w:hAnsi="宋体"/>
                <w:bCs/>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Times New Roman"/>
                <w:b/>
                <w:kern w:val="2"/>
                <w:sz w:val="21"/>
                <w:szCs w:val="21"/>
                <w:lang w:val="en-US" w:eastAsia="zh-CN" w:bidi="ar-SA"/>
              </w:rPr>
            </w:pPr>
            <w:r>
              <w:rPr>
                <w:rFonts w:hint="eastAsia" w:ascii="宋体" w:hAnsi="宋体"/>
                <w:b/>
                <w:color w:val="000000" w:themeColor="text1"/>
                <w:sz w:val="21"/>
                <w:szCs w:val="21"/>
              </w:rPr>
              <w:t>设备设施（包括信息系统）</w:t>
            </w:r>
            <w:r>
              <w:rPr>
                <w:rFonts w:hint="eastAsia" w:ascii="宋体" w:hAnsi="宋体"/>
                <w:b/>
                <w:color w:val="000000" w:themeColor="text1"/>
                <w:sz w:val="21"/>
                <w:szCs w:val="21"/>
                <w:highlight w:val="none"/>
              </w:rPr>
              <w:t>、</w:t>
            </w:r>
            <w:r>
              <w:rPr>
                <w:rFonts w:hint="eastAsia" w:ascii="宋体" w:hAnsi="宋体"/>
                <w:sz w:val="21"/>
                <w:szCs w:val="21"/>
                <w:highlight w:val="none"/>
              </w:rPr>
              <w:t>办公场所面积</w:t>
            </w:r>
            <w:r>
              <w:rPr>
                <w:rFonts w:hint="eastAsia" w:ascii="宋体" w:hAnsi="宋体"/>
                <w:sz w:val="21"/>
                <w:szCs w:val="21"/>
                <w:highlight w:val="none"/>
                <w:lang w:val="en-US" w:eastAsia="zh-CN"/>
              </w:rPr>
              <w:t>1500</w:t>
            </w:r>
            <w:r>
              <w:rPr>
                <w:rFonts w:hint="eastAsia" w:ascii="宋体" w:hAnsi="宋体"/>
                <w:sz w:val="21"/>
                <w:szCs w:val="21"/>
                <w:highlight w:val="none"/>
              </w:rPr>
              <w:t>平方左右</w:t>
            </w:r>
            <w:r>
              <w:rPr>
                <w:rFonts w:hint="eastAsia" w:ascii="宋体" w:hAnsi="宋体"/>
                <w:sz w:val="21"/>
                <w:szCs w:val="21"/>
                <w:highlight w:val="none"/>
                <w:lang w:eastAsia="zh-CN"/>
              </w:rPr>
              <w:t>，</w:t>
            </w:r>
            <w:r>
              <w:rPr>
                <w:rFonts w:hint="eastAsia" w:ascii="宋体" w:hAnsi="宋体" w:cs="宋体"/>
                <w:sz w:val="21"/>
                <w:szCs w:val="21"/>
                <w:highlight w:val="none"/>
              </w:rPr>
              <w:t>主要生产设备为</w:t>
            </w:r>
            <w:r>
              <w:rPr>
                <w:rFonts w:hint="eastAsia" w:ascii="宋体" w:hAnsi="宋体" w:cs="宋体"/>
                <w:color w:val="000000"/>
                <w:kern w:val="0"/>
                <w:sz w:val="21"/>
                <w:szCs w:val="21"/>
                <w:highlight w:val="none"/>
              </w:rPr>
              <w:t>麦芽增湿粉碎机、大米粉碎机、淀粉调浆系统、糖化设备</w:t>
            </w:r>
            <w:r>
              <w:rPr>
                <w:rFonts w:hint="eastAsia"/>
                <w:sz w:val="21"/>
                <w:szCs w:val="21"/>
                <w:highlight w:val="none"/>
              </w:rPr>
              <w:t>、</w:t>
            </w:r>
            <w:r>
              <w:rPr>
                <w:rFonts w:hint="eastAsia" w:ascii="宋体" w:hAnsi="宋体" w:cs="宋体"/>
                <w:color w:val="000000"/>
                <w:kern w:val="0"/>
                <w:sz w:val="21"/>
                <w:szCs w:val="21"/>
                <w:highlight w:val="none"/>
              </w:rPr>
              <w:t>过滤机 、发酵罐</w:t>
            </w:r>
            <w:r>
              <w:rPr>
                <w:rFonts w:hint="eastAsia"/>
                <w:sz w:val="21"/>
                <w:szCs w:val="21"/>
                <w:highlight w:val="none"/>
              </w:rPr>
              <w:t>、</w:t>
            </w:r>
            <w:r>
              <w:rPr>
                <w:rFonts w:hint="eastAsia" w:ascii="宋体" w:hAnsi="宋体" w:cs="宋体"/>
                <w:color w:val="000000"/>
                <w:kern w:val="0"/>
                <w:sz w:val="21"/>
                <w:szCs w:val="21"/>
                <w:highlight w:val="none"/>
              </w:rPr>
              <w:t>制冷机组、空气压缩机、叉车等设备。</w:t>
            </w:r>
            <w:r>
              <w:rPr>
                <w:rFonts w:hint="eastAsia" w:ascii="宋体" w:hAnsi="宋体"/>
                <w:sz w:val="21"/>
                <w:szCs w:val="21"/>
                <w:highlight w:val="none"/>
              </w:rPr>
              <w:t>可以满足</w:t>
            </w:r>
            <w:r>
              <w:rPr>
                <w:rFonts w:hint="eastAsia"/>
                <w:sz w:val="21"/>
                <w:szCs w:val="21"/>
                <w:highlight w:val="none"/>
              </w:rPr>
              <w:t>啤酒生产</w:t>
            </w:r>
            <w:r>
              <w:rPr>
                <w:rFonts w:hint="eastAsia" w:ascii="宋体" w:hAnsi="宋体"/>
                <w:sz w:val="21"/>
                <w:szCs w:val="21"/>
                <w:highlight w:val="none"/>
              </w:rPr>
              <w:t>的需要</w:t>
            </w:r>
            <w:r>
              <w:rPr>
                <w:rFonts w:hint="eastAsia" w:ascii="宋体" w:hAnsi="宋体" w:cs="宋体"/>
                <w:sz w:val="21"/>
                <w:szCs w:val="21"/>
                <w:highlight w:val="none"/>
              </w:rPr>
              <w:t>。对设备按月方式进行点检维护保养，并实施。特种设备：叉车、压力容器。公司建立有信息管理系统用于生产和服务。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240" w:lineRule="exact"/>
              <w:ind w:firstLine="210" w:firstLineChars="100"/>
              <w:rPr>
                <w:rFonts w:ascii="宋体" w:hAnsi="宋体" w:eastAsia="宋体" w:cs="Times New Roman"/>
                <w:b/>
                <w:color w:val="000000" w:themeColor="text1"/>
                <w:kern w:val="2"/>
                <w:sz w:val="21"/>
                <w:szCs w:val="21"/>
                <w:lang w:val="en-US" w:eastAsia="zh-CN" w:bidi="ar-SA"/>
              </w:rPr>
            </w:pPr>
            <w:r>
              <w:rPr>
                <w:rFonts w:hint="eastAsia" w:ascii="宋体" w:hAnsi="宋体" w:cs="宋体"/>
                <w:sz w:val="21"/>
                <w:szCs w:val="21"/>
              </w:rPr>
              <w:t>办公、服务场所和内设备布置合理，通道畅通，照明设施齐全，均配备了消防设施等设施。办公室明亮，培训场所光线较充足。每月由行政部对工作环境进行定期检查。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监视和测量资源</w:t>
            </w:r>
          </w:p>
          <w:p>
            <w:pPr>
              <w:spacing w:line="240" w:lineRule="exact"/>
              <w:ind w:firstLine="210" w:firstLineChars="100"/>
              <w:rPr>
                <w:rFonts w:hint="default" w:ascii="宋体" w:hAnsi="宋体" w:eastAsia="宋体" w:cs="Times New Roman"/>
                <w:b/>
                <w:kern w:val="2"/>
                <w:sz w:val="21"/>
                <w:szCs w:val="21"/>
                <w:lang w:val="en-US" w:eastAsia="zh-CN" w:bidi="ar-SA"/>
              </w:rPr>
            </w:pPr>
            <w:r>
              <w:rPr>
                <w:rFonts w:hint="eastAsia" w:ascii="宋体" w:hAnsi="宋体" w:cs="宋体"/>
                <w:sz w:val="21"/>
                <w:szCs w:val="21"/>
                <w:highlight w:val="none"/>
              </w:rPr>
              <w:t>废水排放在线检测仪等测试设备，检测设备受控。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keepNext w:val="0"/>
              <w:keepLines w:val="0"/>
              <w:pageBreakBefore w:val="0"/>
              <w:widowControl w:val="0"/>
              <w:kinsoku/>
              <w:wordWrap/>
              <w:overflowPunct/>
              <w:topLinePunct w:val="0"/>
              <w:autoSpaceDE/>
              <w:autoSpaceDN/>
              <w:bidi w:val="0"/>
              <w:adjustRightInd/>
              <w:snapToGrid/>
              <w:spacing w:line="240" w:lineRule="auto"/>
              <w:ind w:firstLine="315" w:firstLineChars="150"/>
              <w:textAlignment w:val="auto"/>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环保设施：</w:t>
            </w:r>
          </w:p>
          <w:p>
            <w:pPr>
              <w:spacing w:line="240" w:lineRule="exact"/>
              <w:rPr>
                <w:rFonts w:hint="eastAsia" w:ascii="宋体" w:hAnsi="宋体" w:eastAsia="宋体" w:cs="Times New Roman"/>
                <w:kern w:val="2"/>
                <w:sz w:val="21"/>
                <w:szCs w:val="21"/>
                <w:lang w:val="en-US" w:eastAsia="zh-CN" w:bidi="ar-SA"/>
              </w:rPr>
            </w:pPr>
            <w:r>
              <w:rPr>
                <w:rFonts w:hint="eastAsia"/>
                <w:sz w:val="21"/>
                <w:szCs w:val="21"/>
              </w:rPr>
              <w:t>脉冲布袋除尘器、二氧化碳回收装置、水处理装置、消防栓、灭火器等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职业健康安全设施：</w:t>
            </w:r>
          </w:p>
          <w:p>
            <w:pPr>
              <w:spacing w:line="240" w:lineRule="exact"/>
              <w:rPr>
                <w:rFonts w:ascii="宋体" w:hAnsi="宋体" w:eastAsia="宋体" w:cs="Times New Roman"/>
                <w:kern w:val="2"/>
                <w:sz w:val="21"/>
                <w:szCs w:val="21"/>
                <w:lang w:val="en-US" w:eastAsia="zh-CN" w:bidi="ar-SA"/>
              </w:rPr>
            </w:pPr>
            <w:r>
              <w:rPr>
                <w:rFonts w:hint="eastAsia" w:ascii="宋体" w:hAnsi="宋体"/>
                <w:sz w:val="21"/>
                <w:szCs w:val="21"/>
              </w:rPr>
              <w:t>氨气泄漏报警器、天然气泄漏报警器等。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6"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sz w:val="21"/>
                <w:szCs w:val="18"/>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67" w:hangingChars="79"/>
              <w:rPr>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内部沟通的效果：良好</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外部信息的接收、成文并答复的情况（E、S填写）：对会议通知和规定等登记处理</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w:t>
            </w:r>
            <w:r>
              <w:rPr>
                <w:rFonts w:hint="eastAsia"/>
                <w:sz w:val="21"/>
                <w:szCs w:val="21"/>
              </w:rPr>
              <w:t>主要通过网络、交流及公开信、合同等方式进行，并达成一致性意见实施有效控制</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r>
              <w:rPr>
                <w:rFonts w:hint="eastAsia" w:ascii="宋体" w:hAnsi="宋体" w:cs="Arial"/>
                <w:sz w:val="21"/>
                <w:szCs w:val="21"/>
              </w:rPr>
              <w:t>与安全健康管理有关的法律法规，包括《劳动合同法》、《工伤保险条例》等关于员工权益、保险等内容</w:t>
            </w:r>
          </w:p>
          <w:p>
            <w:pPr>
              <w:spacing w:line="240" w:lineRule="exact"/>
              <w:rPr>
                <w:rFonts w:ascii="楷体_GB2312" w:hAnsi="Times New Roman" w:eastAsia="楷体_GB2312" w:cs="Times New Roman"/>
                <w:b/>
                <w:color w:val="000000" w:themeColor="text1"/>
                <w:kern w:val="2"/>
                <w:sz w:val="24"/>
                <w:szCs w:val="21"/>
                <w:lang w:val="en-US" w:eastAsia="zh-CN" w:bidi="ar-SA"/>
              </w:rPr>
            </w:pPr>
            <w:r>
              <w:rPr>
                <w:rFonts w:hint="eastAsia" w:ascii="楷体_GB2312" w:eastAsia="楷体_GB2312"/>
                <w:b/>
                <w:color w:val="000000" w:themeColor="text1"/>
                <w:sz w:val="2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pStyle w:val="16"/>
              <w:keepNext w:val="0"/>
              <w:keepLines w:val="0"/>
              <w:pageBreakBefore w:val="0"/>
              <w:widowControl w:val="0"/>
              <w:tabs>
                <w:tab w:val="center" w:pos="3169"/>
              </w:tabs>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宋体" w:cs="Times New Roman"/>
                <w:b/>
                <w:color w:val="000000" w:themeColor="text1"/>
                <w:kern w:val="2"/>
                <w:sz w:val="21"/>
                <w:szCs w:val="21"/>
                <w:lang w:val="en-US" w:eastAsia="zh-CN" w:bidi="ar-SA"/>
              </w:rPr>
            </w:pPr>
            <w:r>
              <w:rPr>
                <w:rFonts w:hint="eastAsia" w:asciiTheme="minorEastAsia" w:hAnsiTheme="minorEastAsia" w:eastAsiaTheme="minorEastAsia"/>
                <w:bCs/>
                <w:iCs/>
                <w:sz w:val="21"/>
                <w:szCs w:val="21"/>
              </w:rPr>
              <w:t>组织重要环境</w:t>
            </w:r>
            <w:r>
              <w:rPr>
                <w:rFonts w:hint="eastAsia" w:asciiTheme="minorEastAsia" w:hAnsiTheme="minorEastAsia" w:eastAsiaTheme="minorEastAsia"/>
                <w:bCs/>
                <w:iCs/>
                <w:sz w:val="21"/>
                <w:szCs w:val="21"/>
                <w:highlight w:val="none"/>
              </w:rPr>
              <w:t>因素为</w:t>
            </w:r>
            <w:r>
              <w:rPr>
                <w:rFonts w:hint="eastAsia" w:ascii="宋体" w:hAnsi="宋体" w:cs="宋体"/>
                <w:sz w:val="21"/>
                <w:szCs w:val="21"/>
                <w:highlight w:val="none"/>
              </w:rPr>
              <w:t>1）潜在火灾；2）噪声的排放；3）废水的排放；4）固废的排放；5）粉尘的排放；6）能源消耗（水、电、蒸汽）；7）氨气泄漏。</w:t>
            </w:r>
            <w:r>
              <w:rPr>
                <w:rFonts w:hint="eastAsia" w:asciiTheme="minorEastAsia" w:hAnsiTheme="minorEastAsia" w:eastAsiaTheme="minorEastAsia"/>
                <w:bCs/>
                <w:iCs/>
                <w:sz w:val="21"/>
                <w:szCs w:val="21"/>
                <w:highlight w:val="none"/>
              </w:rPr>
              <w:t>需要应对的风险和机遇相关的过程为施工、测试过程，建立了控制过程的识别、策划控制程序，控制措施实施有效性（包括组织自身的污染预防控制及对相关方的控制）；组织在运行策划时，基于产品生命周期的思维，识别了整个过程的环境影响。具体控制措施，包括：固废的控制、噪声控制、潜在火灾</w:t>
            </w:r>
            <w:r>
              <w:rPr>
                <w:rFonts w:hint="eastAsia" w:asciiTheme="minorEastAsia" w:hAnsiTheme="minorEastAsia" w:eastAsiaTheme="minorEastAsia"/>
                <w:bCs/>
                <w:iCs/>
                <w:sz w:val="21"/>
                <w:szCs w:val="21"/>
                <w:highlight w:val="none"/>
                <w:lang w:eastAsia="zh-CN"/>
              </w:rPr>
              <w:t>、</w:t>
            </w:r>
            <w:r>
              <w:rPr>
                <w:rFonts w:hint="eastAsia" w:ascii="宋体" w:hAnsi="宋体" w:cs="宋体"/>
                <w:sz w:val="21"/>
                <w:szCs w:val="21"/>
                <w:highlight w:val="none"/>
              </w:rPr>
              <w:t>氨气泄漏</w:t>
            </w:r>
            <w:r>
              <w:rPr>
                <w:rFonts w:hint="eastAsia" w:asciiTheme="minorEastAsia" w:hAnsiTheme="minorEastAsia" w:eastAsiaTheme="minorEastAsia"/>
                <w:bCs/>
                <w:iCs/>
                <w:sz w:val="21"/>
                <w:szCs w:val="21"/>
                <w:highlight w:val="none"/>
              </w:rPr>
              <w:t>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tabs>
                <w:tab w:val="left" w:pos="2552"/>
              </w:tabs>
              <w:spacing w:line="360" w:lineRule="exact"/>
              <w:ind w:firstLine="315" w:firstLineChars="150"/>
              <w:rPr>
                <w:rFonts w:ascii="Times New Roman" w:hAnsi="Times New Roman" w:eastAsia="宋体" w:cs="Times New Roman"/>
                <w:b/>
                <w:color w:val="000000" w:themeColor="text1"/>
                <w:kern w:val="2"/>
                <w:sz w:val="21"/>
                <w:szCs w:val="21"/>
                <w:lang w:val="en-US" w:eastAsia="zh-CN" w:bidi="ar-SA"/>
              </w:rPr>
            </w:pPr>
            <w:r>
              <w:rPr>
                <w:rFonts w:hint="eastAsia" w:asciiTheme="minorEastAsia" w:hAnsiTheme="minorEastAsia" w:eastAsiaTheme="minorEastAsia"/>
                <w:bCs/>
                <w:iCs/>
                <w:sz w:val="21"/>
                <w:szCs w:val="21"/>
              </w:rPr>
              <w:t>组织建立了危险源识别、</w:t>
            </w:r>
            <w:r>
              <w:rPr>
                <w:rFonts w:hint="eastAsia" w:asciiTheme="minorEastAsia" w:hAnsiTheme="minorEastAsia" w:eastAsiaTheme="minorEastAsia"/>
                <w:bCs/>
                <w:iCs/>
                <w:sz w:val="21"/>
                <w:szCs w:val="21"/>
                <w:highlight w:val="none"/>
              </w:rPr>
              <w:t>评价控制程序，识别评价了危险源、风险相关的过程，评价出:</w:t>
            </w:r>
            <w:r>
              <w:rPr>
                <w:rFonts w:hint="eastAsia"/>
                <w:sz w:val="21"/>
                <w:szCs w:val="21"/>
                <w:highlight w:val="none"/>
              </w:rPr>
              <w:t>1）火灾；2）爆炸（氨气、天然气、压力容器等）；3）触电；4）意外伤害（高坠、烫伤、冻伤、酸碱腐蚀、爆瓶等伤害）；5）中毒；6）噪声；7）职业病（噪声、粉尘等</w:t>
            </w:r>
            <w:r>
              <w:rPr>
                <w:rFonts w:hint="eastAsia"/>
                <w:sz w:val="21"/>
                <w:szCs w:val="21"/>
                <w:highlight w:val="none"/>
                <w:lang w:eastAsia="zh-CN"/>
              </w:rPr>
              <w:t>）</w:t>
            </w:r>
            <w:r>
              <w:rPr>
                <w:rFonts w:hint="eastAsia" w:ascii="宋体" w:hAnsi="宋体" w:cs="宋体"/>
                <w:sz w:val="21"/>
                <w:szCs w:val="21"/>
                <w:highlight w:val="none"/>
              </w:rPr>
              <w:t>等</w:t>
            </w:r>
            <w:r>
              <w:rPr>
                <w:rFonts w:hint="eastAsia" w:asciiTheme="minorEastAsia" w:hAnsiTheme="minorEastAsia" w:eastAsiaTheme="minorEastAsia"/>
                <w:bCs/>
                <w:iCs/>
                <w:sz w:val="21"/>
                <w:szCs w:val="21"/>
                <w:highlight w:val="none"/>
              </w:rPr>
              <w:t>重要危险源，与之相关的过程有施工、安装、测试过程，针对不可接受风险制定了管理方案。控制措施实施有效。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cs="Times New Roman" w:asciiTheme="minorEastAsia" w:hAnsiTheme="minorEastAsia" w:eastAsiaTheme="minorEastAsia"/>
                <w:b/>
                <w:color w:val="000000" w:themeColor="text1"/>
                <w:spacing w:val="-4"/>
                <w:kern w:val="2"/>
                <w:sz w:val="21"/>
                <w:szCs w:val="21"/>
                <w:lang w:val="en-US" w:eastAsia="zh-CN" w:bidi="ar-SA"/>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 w:val="21"/>
                <w:szCs w:val="21"/>
              </w:rPr>
            </w:pPr>
            <w:r>
              <w:rPr>
                <w:rFonts w:hint="eastAsia"/>
                <w:b/>
                <w:sz w:val="21"/>
                <w:szCs w:val="21"/>
              </w:rPr>
              <w:t>10. 对特种设备的维护; （适用时）</w:t>
            </w:r>
          </w:p>
          <w:p>
            <w:pPr>
              <w:spacing w:line="240" w:lineRule="exact"/>
              <w:rPr>
                <w:rFonts w:hint="eastAsia" w:ascii="Times New Roman" w:hAnsi="Times New Roman" w:eastAsia="宋体" w:cs="Times New Roman"/>
                <w:b/>
                <w:kern w:val="2"/>
                <w:sz w:val="21"/>
                <w:szCs w:val="21"/>
                <w:lang w:val="en-US" w:eastAsia="zh-CN" w:bidi="ar-SA"/>
              </w:rPr>
            </w:pPr>
            <w:r>
              <w:rPr>
                <w:rFonts w:hint="eastAsia"/>
                <w:b/>
                <w:sz w:val="21"/>
                <w:szCs w:val="21"/>
                <w:lang w:eastAsia="zh-CN"/>
              </w:rPr>
              <w:t>对叉车，</w:t>
            </w:r>
            <w:r>
              <w:rPr>
                <w:rFonts w:hint="eastAsia"/>
                <w:b/>
                <w:sz w:val="21"/>
                <w:szCs w:val="21"/>
                <w:lang w:val="en-US" w:eastAsia="zh-CN"/>
              </w:rPr>
              <w:t>锅炉、</w:t>
            </w:r>
            <w:r>
              <w:rPr>
                <w:rFonts w:hint="eastAsia"/>
                <w:b/>
                <w:sz w:val="21"/>
                <w:szCs w:val="21"/>
                <w:lang w:eastAsia="zh-CN"/>
              </w:rPr>
              <w:t>压力容器</w:t>
            </w:r>
            <w:r>
              <w:rPr>
                <w:rFonts w:hint="eastAsia"/>
                <w:b/>
                <w:sz w:val="21"/>
                <w:szCs w:val="21"/>
                <w:lang w:val="en-US" w:eastAsia="zh-CN"/>
              </w:rPr>
              <w:t>等</w:t>
            </w:r>
            <w:r>
              <w:rPr>
                <w:rFonts w:hint="eastAsia"/>
                <w:b/>
                <w:sz w:val="21"/>
                <w:szCs w:val="21"/>
                <w:lang w:eastAsia="zh-CN"/>
              </w:rPr>
              <w:t>进行了年检。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 w:val="21"/>
                <w:szCs w:val="21"/>
              </w:rPr>
            </w:pPr>
            <w:r>
              <w:rPr>
                <w:rFonts w:hint="eastAsia"/>
                <w:b/>
                <w:sz w:val="21"/>
                <w:szCs w:val="21"/>
              </w:rPr>
              <w:t>11 .对危险化学品销售、使用、储存、运输处置，规定的执行力度(必要时); （适用时）</w:t>
            </w:r>
          </w:p>
          <w:p>
            <w:pPr>
              <w:spacing w:line="240" w:lineRule="exact"/>
              <w:rPr>
                <w:rFonts w:ascii="Times New Roman" w:hAnsi="Times New Roman" w:eastAsia="宋体" w:cs="Times New Roman"/>
                <w:kern w:val="2"/>
                <w:sz w:val="21"/>
                <w:szCs w:val="21"/>
                <w:lang w:val="en-US" w:eastAsia="zh-CN" w:bidi="ar-SA"/>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1"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5" w:hangingChars="50"/>
              <w:rPr>
                <w:b/>
                <w:color w:val="000000" w:themeColor="text1"/>
                <w:sz w:val="21"/>
                <w:szCs w:val="21"/>
              </w:rPr>
            </w:pPr>
            <w:r>
              <w:rPr>
                <w:rFonts w:hint="eastAsia"/>
                <w:b/>
                <w:color w:val="000000" w:themeColor="text1"/>
                <w:sz w:val="21"/>
                <w:szCs w:val="21"/>
              </w:rPr>
              <w:t>1. .对质量/环境/职业健康安全目标指标进行定期监测/检查情况</w:t>
            </w:r>
            <w:r>
              <w:rPr>
                <w:rFonts w:hint="eastAsia"/>
                <w:b/>
                <w:sz w:val="21"/>
                <w:szCs w:val="21"/>
              </w:rPr>
              <w:t>（适用时）</w:t>
            </w:r>
          </w:p>
          <w:p>
            <w:pPr>
              <w:spacing w:line="240" w:lineRule="exact"/>
              <w:ind w:firstLine="105" w:firstLineChars="5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公司制定、发布了总体目标并分解到相关职能部门和层次，规定了目标值、计算方法、责任部门、检查人、考核频次等</w:t>
            </w:r>
            <w:r>
              <w:rPr>
                <w:rFonts w:hint="eastAsia" w:ascii="宋体" w:hAnsi="宋体" w:cs="宋体"/>
                <w:color w:val="000000"/>
                <w:sz w:val="21"/>
                <w:szCs w:val="21"/>
                <w:highlight w:val="none"/>
              </w:rPr>
              <w:t>。同时，质量目标得到沟通和监视评价，通过数据的汇总统计、描述性统计等方法对目标进行了测量，总体已达到或超过了规定的目标值。通</w:t>
            </w:r>
            <w:r>
              <w:rPr>
                <w:rFonts w:hint="eastAsia" w:ascii="宋体" w:hAnsi="宋体" w:cs="宋体"/>
                <w:sz w:val="21"/>
                <w:szCs w:val="21"/>
                <w:highlight w:val="none"/>
              </w:rPr>
              <w:t>过20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sz w:val="21"/>
                <w:szCs w:val="21"/>
                <w:highlight w:val="none"/>
                <w:lang w:val="en-US" w:eastAsia="zh-CN"/>
              </w:rPr>
              <w:t>11</w:t>
            </w:r>
            <w:r>
              <w:rPr>
                <w:rFonts w:hint="eastAsia" w:ascii="宋体" w:hAnsi="宋体" w:cs="宋体"/>
                <w:sz w:val="21"/>
                <w:szCs w:val="21"/>
                <w:highlight w:val="none"/>
              </w:rPr>
              <w:t>月</w:t>
            </w:r>
            <w:r>
              <w:rPr>
                <w:rFonts w:hint="eastAsia" w:ascii="宋体" w:hAnsi="宋体" w:cs="宋体"/>
                <w:color w:val="000000"/>
                <w:sz w:val="21"/>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20" w:leftChars="50" w:firstLine="360" w:firstLineChars="15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3. 内审（包括内审策划审核方案中考虑拟审核的过程和区域的状况和重要性）</w:t>
            </w:r>
          </w:p>
          <w:p>
            <w:pPr>
              <w:spacing w:line="240" w:lineRule="exact"/>
              <w:rPr>
                <w:rFonts w:ascii="Times New Roman" w:hAnsi="Times New Roman" w:eastAsia="宋体" w:cs="Times New Roman"/>
                <w:b/>
                <w:color w:val="FF0000"/>
                <w:kern w:val="2"/>
                <w:sz w:val="21"/>
                <w:szCs w:val="21"/>
                <w:lang w:val="en-US" w:eastAsia="zh-CN" w:bidi="ar-SA"/>
              </w:rPr>
            </w:pPr>
            <w:r>
              <w:rPr>
                <w:rFonts w:hint="eastAsia" w:ascii="宋体" w:hAnsi="宋体"/>
                <w:sz w:val="21"/>
                <w:szCs w:val="21"/>
              </w:rPr>
              <w:t>建立有《内部审核控制程序》，规定了内审频次一年一次，内审时间：20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6</w:t>
            </w:r>
            <w:r>
              <w:rPr>
                <w:rFonts w:hint="eastAsia" w:ascii="宋体" w:hAnsi="宋体"/>
                <w:sz w:val="21"/>
                <w:szCs w:val="21"/>
              </w:rPr>
              <w:t>月</w:t>
            </w:r>
            <w:r>
              <w:rPr>
                <w:rFonts w:hint="eastAsia" w:ascii="宋体" w:hAnsi="宋体"/>
                <w:sz w:val="21"/>
                <w:szCs w:val="21"/>
                <w:lang w:val="en-US" w:eastAsia="zh-CN"/>
              </w:rPr>
              <w:t>14</w:t>
            </w:r>
            <w:r>
              <w:rPr>
                <w:rFonts w:hint="eastAsia" w:ascii="宋体" w:hAnsi="宋体"/>
                <w:sz w:val="21"/>
                <w:szCs w:val="21"/>
              </w:rPr>
              <w:t>日，拟定了审核实施表，明确了内审范围，内审人员经培训合格上岗，能力满足要求，未出现审核本部门情况，内审不符合项1项，涉及</w:t>
            </w:r>
            <w:r>
              <w:rPr>
                <w:rFonts w:hint="eastAsia" w:ascii="宋体" w:hAnsi="宋体"/>
                <w:sz w:val="21"/>
                <w:szCs w:val="21"/>
                <w:lang w:val="en-US" w:eastAsia="zh-CN"/>
              </w:rPr>
              <w:t>行政</w:t>
            </w:r>
            <w:r>
              <w:rPr>
                <w:rFonts w:hint="eastAsia" w:ascii="宋体" w:hAnsi="宋体"/>
                <w:sz w:val="21"/>
                <w:szCs w:val="21"/>
              </w:rPr>
              <w:t>部E</w:t>
            </w:r>
            <w:r>
              <w:rPr>
                <w:rFonts w:hint="eastAsia" w:ascii="宋体" w:hAnsi="宋体"/>
                <w:sz w:val="21"/>
                <w:szCs w:val="21"/>
                <w:lang w:val="en-US" w:eastAsia="zh-CN"/>
              </w:rPr>
              <w:t>9.1.1</w:t>
            </w:r>
            <w:r>
              <w:rPr>
                <w:rFonts w:hint="eastAsia" w:ascii="宋体" w:hAnsi="宋体"/>
                <w:sz w:val="21"/>
                <w:szCs w:val="21"/>
              </w:rPr>
              <w:t>/S</w:t>
            </w:r>
            <w:r>
              <w:rPr>
                <w:rFonts w:hint="eastAsia" w:ascii="宋体" w:hAnsi="宋体"/>
                <w:sz w:val="21"/>
                <w:szCs w:val="21"/>
                <w:lang w:val="en-US" w:eastAsia="zh-CN"/>
              </w:rPr>
              <w:t>9.1.1</w:t>
            </w:r>
            <w:r>
              <w:rPr>
                <w:rFonts w:hint="eastAsia" w:ascii="宋体" w:hAnsi="宋体"/>
                <w:sz w:val="21"/>
                <w:szCs w:val="21"/>
              </w:rPr>
              <w:t xml:space="preserve">条款 </w:t>
            </w:r>
            <w:r>
              <w:rPr>
                <w:rFonts w:hint="eastAsia" w:ascii="宋体" w:hAnsi="宋体"/>
                <w:sz w:val="21"/>
                <w:szCs w:val="21"/>
                <w:lang w:val="en-US" w:eastAsia="zh-CN"/>
              </w:rPr>
              <w:t>未能提供2020年5月份的环境安全检查记录</w:t>
            </w:r>
            <w:r>
              <w:rPr>
                <w:rFonts w:hint="eastAsia" w:ascii="宋体" w:hAnsi="宋体"/>
                <w:sz w:val="21"/>
                <w:szCs w:val="21"/>
              </w:rPr>
              <w:t>，已及时采取纠正措施后，经内审员验证关闭。内审的有效性需要改善。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1"/>
                <w:szCs w:val="21"/>
                <w:highlight w:val="none"/>
              </w:rPr>
            </w:pPr>
            <w:r>
              <w:rPr>
                <w:rFonts w:hint="eastAsia"/>
                <w:b/>
                <w:color w:val="000000" w:themeColor="text1"/>
                <w:sz w:val="21"/>
                <w:szCs w:val="21"/>
              </w:rPr>
              <w:t>4.管理评审（管理评审体系</w:t>
            </w:r>
            <w:r>
              <w:rPr>
                <w:rFonts w:hint="eastAsia"/>
                <w:b/>
                <w:color w:val="000000" w:themeColor="text1"/>
                <w:sz w:val="21"/>
                <w:szCs w:val="21"/>
                <w:highlight w:val="none"/>
              </w:rPr>
              <w:t>变更需求，纠正和预防措施、体系有效性等）</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sz w:val="21"/>
                <w:szCs w:val="21"/>
                <w:highlight w:val="none"/>
              </w:rPr>
              <w:t>管理评审频次为一年一次、本次管理评审于</w:t>
            </w:r>
            <w:r>
              <w:rPr>
                <w:rFonts w:hint="eastAsia" w:ascii="宋体" w:hAnsi="宋体"/>
                <w:sz w:val="21"/>
                <w:szCs w:val="21"/>
                <w:highlight w:val="none"/>
              </w:rPr>
              <w:t>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7</w:t>
            </w:r>
            <w:r>
              <w:rPr>
                <w:rFonts w:hint="eastAsia" w:ascii="宋体" w:hAnsi="宋体"/>
                <w:sz w:val="21"/>
                <w:szCs w:val="21"/>
                <w:highlight w:val="none"/>
              </w:rPr>
              <w:t>月</w:t>
            </w:r>
            <w:r>
              <w:rPr>
                <w:rFonts w:hint="eastAsia" w:ascii="宋体" w:hAnsi="宋体"/>
                <w:sz w:val="21"/>
                <w:szCs w:val="21"/>
                <w:highlight w:val="none"/>
                <w:lang w:val="en-US" w:eastAsia="zh-CN"/>
              </w:rPr>
              <w:t>10</w:t>
            </w:r>
            <w:r>
              <w:rPr>
                <w:rFonts w:hint="eastAsia" w:ascii="宋体" w:hAnsi="宋体"/>
                <w:sz w:val="21"/>
                <w:szCs w:val="21"/>
                <w:highlight w:val="none"/>
              </w:rPr>
              <w:t>日</w:t>
            </w:r>
            <w:r>
              <w:rPr>
                <w:rFonts w:hint="eastAsia" w:ascii="宋体" w:hAnsi="宋体" w:cs="宋体"/>
                <w:sz w:val="21"/>
                <w:szCs w:val="21"/>
                <w:highlight w:val="none"/>
              </w:rPr>
              <w:t>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3"/>
              </w:numPr>
              <w:spacing w:line="240" w:lineRule="exac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spacing w:line="400" w:lineRule="exact"/>
              <w:rPr>
                <w:rFonts w:hint="eastAsia" w:ascii="Times New Roman" w:hAnsi="Times New Roman" w:eastAsia="宋体" w:cs="Times New Roman"/>
                <w:kern w:val="2"/>
                <w:sz w:val="20"/>
                <w:szCs w:val="20"/>
                <w:lang w:val="en-US" w:eastAsia="zh-CN" w:bidi="ar-SA"/>
              </w:rPr>
            </w:pPr>
            <w:r>
              <w:rPr>
                <w:rFonts w:hint="eastAsia" w:ascii="宋体" w:hAnsi="宋体"/>
                <w:sz w:val="21"/>
                <w:szCs w:val="21"/>
                <w:highlight w:val="none"/>
              </w:rPr>
              <w:t>提供有</w:t>
            </w:r>
            <w:r>
              <w:rPr>
                <w:rFonts w:hint="eastAsia" w:ascii="宋体" w:hAnsi="宋体"/>
                <w:sz w:val="21"/>
                <w:szCs w:val="21"/>
                <w:highlight w:val="none"/>
                <w:lang w:val="en-US" w:eastAsia="zh-CN"/>
              </w:rPr>
              <w:t>1）</w:t>
            </w:r>
            <w:r>
              <w:rPr>
                <w:rFonts w:hint="eastAsia"/>
                <w:sz w:val="21"/>
                <w:szCs w:val="21"/>
                <w:highlight w:val="none"/>
              </w:rPr>
              <w:t>2020年11月25日噪声检测报告</w:t>
            </w:r>
            <w:r>
              <w:rPr>
                <w:rFonts w:hint="eastAsia" w:ascii="宋体" w:hAnsi="宋体" w:cs="宋体"/>
                <w:color w:val="000000"/>
                <w:kern w:val="0"/>
                <w:sz w:val="21"/>
                <w:szCs w:val="21"/>
                <w:highlight w:val="none"/>
              </w:rPr>
              <w:t>（</w:t>
            </w:r>
            <w:r>
              <w:rPr>
                <w:rFonts w:hint="eastAsia"/>
                <w:sz w:val="21"/>
                <w:szCs w:val="21"/>
                <w:highlight w:val="none"/>
              </w:rPr>
              <w:t>绵凯检（2020）11024W号</w:t>
            </w:r>
            <w:r>
              <w:rPr>
                <w:rFonts w:hint="eastAsia" w:ascii="宋体" w:hAnsi="宋体" w:cs="宋体"/>
                <w:color w:val="000000"/>
                <w:kern w:val="0"/>
                <w:sz w:val="21"/>
                <w:szCs w:val="21"/>
                <w:highlight w:val="none"/>
              </w:rPr>
              <w:t>）</w:t>
            </w:r>
            <w:r>
              <w:rPr>
                <w:rFonts w:hint="eastAsia" w:ascii="宋体" w:hAnsi="宋体" w:cs="宋体"/>
                <w:color w:val="000000"/>
                <w:kern w:val="0"/>
                <w:sz w:val="21"/>
                <w:szCs w:val="21"/>
                <w:highlight w:val="none"/>
                <w:lang w:val="en-US" w:eastAsia="zh-CN"/>
              </w:rPr>
              <w:t>；2）</w:t>
            </w:r>
            <w:r>
              <w:rPr>
                <w:rFonts w:hint="eastAsia"/>
                <w:sz w:val="21"/>
                <w:szCs w:val="21"/>
                <w:highlight w:val="none"/>
              </w:rPr>
              <w:t>2020年11月2日</w:t>
            </w:r>
            <w:r>
              <w:rPr>
                <w:rFonts w:hint="eastAsia" w:ascii="宋体" w:hAnsi="宋体" w:cs="宋体"/>
                <w:color w:val="000000"/>
                <w:kern w:val="0"/>
                <w:sz w:val="21"/>
                <w:szCs w:val="21"/>
                <w:highlight w:val="none"/>
                <w:lang w:val="en-US" w:eastAsia="zh-CN"/>
              </w:rPr>
              <w:t>废水、废气检测项目检测报告（</w:t>
            </w:r>
            <w:r>
              <w:rPr>
                <w:rFonts w:hint="eastAsia"/>
                <w:sz w:val="21"/>
                <w:szCs w:val="21"/>
                <w:highlight w:val="none"/>
              </w:rPr>
              <w:t>绵凯检（2020）09094W号</w:t>
            </w:r>
            <w:r>
              <w:rPr>
                <w:rFonts w:hint="eastAsia" w:ascii="宋体" w:hAnsi="宋体" w:cs="宋体"/>
                <w:color w:val="000000"/>
                <w:kern w:val="0"/>
                <w:sz w:val="21"/>
                <w:szCs w:val="21"/>
                <w:highlight w:val="none"/>
                <w:lang w:val="en-US" w:eastAsia="zh-CN"/>
              </w:rPr>
              <w:t>）</w:t>
            </w:r>
            <w:r>
              <w:rPr>
                <w:rFonts w:hint="eastAsia" w:ascii="宋体" w:hAnsi="宋体" w:cs="宋体"/>
                <w:color w:val="000000"/>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ascii="Times New Roman" w:hAnsi="Times New Roman" w:eastAsia="宋体" w:cs="Times New Roman"/>
                <w:b/>
                <w:kern w:val="2"/>
                <w:sz w:val="20"/>
                <w:szCs w:val="20"/>
                <w:lang w:val="en-US" w:eastAsia="zh-CN" w:bidi="ar-SA"/>
              </w:rPr>
            </w:pPr>
            <w:r>
              <w:rPr>
                <w:rFonts w:hint="eastAsia" w:ascii="宋体" w:hAnsi="宋体"/>
                <w:sz w:val="21"/>
                <w:szCs w:val="18"/>
                <w:highlight w:val="none"/>
              </w:rPr>
              <w:t>提供有</w:t>
            </w:r>
            <w:r>
              <w:rPr>
                <w:rFonts w:hint="eastAsia" w:ascii="宋体" w:hAnsi="宋体" w:cs="宋体"/>
                <w:color w:val="000000"/>
                <w:kern w:val="0"/>
                <w:sz w:val="21"/>
                <w:szCs w:val="18"/>
                <w:highlight w:val="none"/>
                <w:lang w:val="en-US" w:eastAsia="zh-CN"/>
              </w:rPr>
              <w:t>20万吨/年啤酒生产线扩建工程竣工环境保护验收监测报告表、结论：验收合格。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hint="eastAsia" w:ascii="Times New Roman" w:hAnsi="Times New Roman" w:eastAsia="宋体" w:cs="Times New Roman"/>
                <w:b/>
                <w:kern w:val="2"/>
                <w:sz w:val="20"/>
                <w:szCs w:val="20"/>
                <w:lang w:val="en-US" w:eastAsia="zh-CN" w:bidi="ar-SA"/>
              </w:rPr>
            </w:pPr>
            <w:r>
              <w:rPr>
                <w:rFonts w:hint="eastAsia" w:ascii="宋体" w:hAnsi="宋体" w:cs="宋体"/>
                <w:color w:val="000000"/>
                <w:kern w:val="0"/>
                <w:sz w:val="21"/>
                <w:szCs w:val="18"/>
                <w:highlight w:val="none"/>
                <w:lang w:val="en-US" w:eastAsia="zh-CN"/>
              </w:rPr>
              <w:t>提供有职业病危害现状评价报告书川泰（职）现[2020]778号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ascii="Times New Roman" w:hAnsi="Times New Roman" w:eastAsia="宋体" w:cs="Times New Roman"/>
                <w:b/>
                <w:kern w:val="2"/>
                <w:sz w:val="20"/>
                <w:szCs w:val="20"/>
                <w:lang w:val="en-US" w:eastAsia="zh-CN" w:bidi="ar-SA"/>
              </w:rPr>
            </w:pPr>
            <w:r>
              <w:rPr>
                <w:rFonts w:hint="eastAsia"/>
                <w:b/>
                <w:sz w:val="20"/>
                <w:szCs w:val="20"/>
              </w:rPr>
              <w:t>暂无</w:t>
            </w:r>
            <w:bookmarkStart w:id="29" w:name="_GoBack"/>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eastAsia="宋体" w:cs="宋体"/>
                <w:sz w:val="21"/>
                <w:szCs w:val="21"/>
              </w:rPr>
              <w:t>纠正措施的有效性需要改善。</w:t>
            </w:r>
          </w:p>
          <w:p>
            <w:pPr>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ind w:leftChars="-50" w:firstLine="422" w:firstLineChars="200"/>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120" w:leftChars="-50" w:firstLine="531" w:firstLineChars="252"/>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120" w:leftChars="-50" w:firstLine="420" w:firstLineChars="200"/>
              <w:rPr>
                <w:rFonts w:ascii="宋体" w:hAnsi="宋体" w:eastAsia="宋体" w:cs="Times New Roman"/>
                <w:b/>
                <w:kern w:val="2"/>
                <w:sz w:val="21"/>
                <w:szCs w:val="21"/>
                <w:lang w:val="en-US" w:eastAsia="zh-CN" w:bidi="ar-SA"/>
              </w:rPr>
            </w:pPr>
            <w:r>
              <w:rPr>
                <w:rFonts w:hint="eastAsia" w:ascii="宋体" w:hAnsi="宋体" w:eastAsia="宋体" w:cs="宋体"/>
                <w:color w:val="auto"/>
                <w:sz w:val="21"/>
                <w:szCs w:val="21"/>
                <w:highlight w:val="none"/>
              </w:rPr>
              <w:t>上次不符合为</w:t>
            </w:r>
            <w:r>
              <w:rPr>
                <w:rFonts w:hint="eastAsia" w:ascii="宋体" w:hAnsi="宋体" w:cs="宋体"/>
                <w:color w:val="auto"/>
                <w:sz w:val="21"/>
                <w:szCs w:val="21"/>
                <w:highlight w:val="none"/>
                <w:lang w:val="en-US" w:eastAsia="zh-CN"/>
              </w:rPr>
              <w:t>行政部E9.1.1条款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9"/>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color w:val="auto"/>
          <w:szCs w:val="21"/>
          <w:highlight w:val="none"/>
        </w:rPr>
      </w:pPr>
      <w:r>
        <w:rPr>
          <w:rFonts w:hint="eastAsia" w:ascii="宋体" w:hAnsi="宋体"/>
          <w:b/>
          <w:color w:val="auto"/>
          <w:szCs w:val="21"/>
          <w:highlight w:val="none"/>
        </w:rPr>
        <w:t>本次审核共开具不符合项报告</w:t>
      </w:r>
      <w:r>
        <w:rPr>
          <w:rFonts w:hint="eastAsia" w:ascii="宋体" w:hAnsi="宋体"/>
          <w:b/>
          <w:color w:val="auto"/>
          <w:szCs w:val="21"/>
          <w:highlight w:val="none"/>
          <w:lang w:val="en-US" w:eastAsia="zh-CN"/>
        </w:rPr>
        <w:t>0</w:t>
      </w:r>
      <w:r>
        <w:rPr>
          <w:rFonts w:hint="eastAsia" w:ascii="宋体" w:hAnsi="宋体"/>
          <w:b/>
          <w:color w:val="auto"/>
          <w:szCs w:val="21"/>
          <w:highlight w:val="none"/>
        </w:rPr>
        <w:t>项；其中</w:t>
      </w:r>
      <w:r>
        <w:rPr>
          <w:rFonts w:ascii="宋体" w:hAnsi="宋体"/>
          <w:b/>
          <w:color w:val="auto"/>
          <w:szCs w:val="21"/>
          <w:highlight w:val="none"/>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color w:val="auto"/>
          <w:szCs w:val="21"/>
          <w:highlight w:val="none"/>
        </w:rPr>
        <w:t>严重不符合</w:t>
      </w:r>
      <w:r>
        <w:rPr>
          <w:rFonts w:hint="eastAsia" w:ascii="宋体" w:hAnsi="宋体"/>
          <w:b/>
          <w:color w:val="auto"/>
          <w:szCs w:val="21"/>
          <w:highlight w:val="none"/>
          <w:lang w:val="en-US" w:eastAsia="zh-CN"/>
        </w:rPr>
        <w:t>0</w:t>
      </w:r>
      <w:r>
        <w:rPr>
          <w:rFonts w:hint="eastAsia" w:ascii="宋体" w:hAnsi="宋体"/>
          <w:b/>
          <w:color w:val="auto"/>
          <w:szCs w:val="21"/>
          <w:highlight w:val="none"/>
        </w:rPr>
        <w:t>项，一般不符合</w:t>
      </w:r>
      <w:r>
        <w:rPr>
          <w:rFonts w:hint="eastAsia" w:ascii="宋体" w:hAnsi="宋体"/>
          <w:b/>
          <w:color w:val="auto"/>
          <w:szCs w:val="21"/>
          <w:highlight w:val="none"/>
          <w:lang w:val="en-US" w:eastAsia="zh-CN"/>
        </w:rPr>
        <w:t>0</w:t>
      </w:r>
      <w:r>
        <w:rPr>
          <w:rFonts w:hint="eastAsia" w:ascii="宋体" w:hAnsi="宋体"/>
          <w:b/>
          <w:color w:val="auto"/>
          <w:szCs w:val="21"/>
          <w:highlight w:val="none"/>
        </w:rPr>
        <w:t>项，观察项</w:t>
      </w:r>
      <w:r>
        <w:rPr>
          <w:rFonts w:hint="eastAsia" w:ascii="宋体" w:hAnsi="宋体"/>
          <w:b/>
          <w:color w:val="auto"/>
          <w:szCs w:val="21"/>
          <w:highlight w:val="none"/>
          <w:lang w:val="en-US" w:eastAsia="zh-CN"/>
        </w:rPr>
        <w:t xml:space="preserve"> 1</w:t>
      </w:r>
      <w:r>
        <w:rPr>
          <w:rFonts w:hint="eastAsia" w:ascii="宋体" w:hAnsi="宋体"/>
          <w:b/>
          <w:color w:val="auto"/>
          <w:szCs w:val="21"/>
          <w:highlight w:val="none"/>
        </w:rPr>
        <w:t>项</w:t>
      </w:r>
      <w:r>
        <w:rPr>
          <w:rFonts w:hint="eastAsia" w:ascii="宋体" w:hAnsi="宋体"/>
          <w:b/>
          <w:color w:val="auto"/>
          <w:szCs w:val="21"/>
          <w:highlight w:val="none"/>
          <w:lang w:eastAsia="zh-CN"/>
        </w:rPr>
        <w:t>。</w:t>
      </w:r>
      <w:r>
        <w:rPr>
          <w:rFonts w:hint="eastAsia" w:ascii="宋体" w:hAnsi="宋体"/>
          <w:b/>
          <w:color w:val="auto"/>
          <w:szCs w:val="21"/>
          <w:highlight w:val="none"/>
        </w:rPr>
        <w:t>分布在部门</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条款，见不符合项分布表。（</w:t>
      </w:r>
      <w:r>
        <w:rPr>
          <w:rFonts w:ascii="宋体" w:hAnsi="宋体"/>
          <w:b/>
          <w:color w:val="auto"/>
          <w:szCs w:val="21"/>
          <w:highlight w:val="none"/>
        </w:rPr>
        <w:t>Q/J/E/S</w:t>
      </w:r>
      <w:r>
        <w:rPr>
          <w:rFonts w:hint="eastAsia" w:ascii="宋体" w:hAnsi="宋体"/>
          <w:b/>
          <w:color w:val="auto"/>
          <w:szCs w:val="21"/>
          <w:highlight w:val="none"/>
        </w:rPr>
        <w:t>分开填写）</w:t>
      </w:r>
    </w:p>
    <w:p>
      <w:pPr>
        <w:tabs>
          <w:tab w:val="left" w:pos="645"/>
        </w:tabs>
        <w:spacing w:after="163" w:afterLines="50" w:line="360" w:lineRule="exact"/>
        <w:rPr>
          <w:b/>
          <w:color w:val="auto"/>
          <w:sz w:val="16"/>
          <w:szCs w:val="16"/>
          <w:highlight w:val="none"/>
        </w:rPr>
      </w:pPr>
      <w:r>
        <w:rPr>
          <w:rFonts w:hint="eastAsia"/>
          <w:b/>
          <w:color w:val="auto"/>
          <w:sz w:val="26"/>
          <w:szCs w:val="26"/>
          <w:highlight w:val="none"/>
        </w:rPr>
        <w:t>九、审核结论</w:t>
      </w:r>
    </w:p>
    <w:tbl>
      <w:tblPr>
        <w:tblStyle w:val="9"/>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0" w:leftChars="0" w:firstLine="241" w:firstLineChars="10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w:t>
            </w:r>
            <w:r>
              <w:rPr>
                <w:rFonts w:hint="eastAsia" w:ascii="微软雅黑" w:hAnsi="微软雅黑" w:eastAsia="微软雅黑" w:cs="Times New Roman"/>
                <w:bCs/>
                <w:szCs w:val="24"/>
              </w:rPr>
              <w:t>述，审核组一致认为（</w:t>
            </w:r>
            <w:bookmarkStart w:id="28" w:name="组织名称"/>
            <w:r>
              <w:rPr>
                <w:rFonts w:hint="eastAsia" w:ascii="微软雅黑" w:hAnsi="微软雅黑" w:eastAsia="微软雅黑" w:cs="Times New Roman"/>
                <w:b/>
                <w:bCs w:val="0"/>
                <w:sz w:val="21"/>
                <w:szCs w:val="21"/>
              </w:rPr>
              <w:t>华润雪花啤酒（四川）有限责任公司</w:t>
            </w:r>
            <w:r>
              <w:rPr>
                <w:rFonts w:hint="eastAsia" w:ascii="微软雅黑" w:hAnsi="微软雅黑" w:eastAsia="微软雅黑" w:cs="Times New Roman"/>
                <w:b/>
                <w:bCs w:val="0"/>
                <w:sz w:val="21"/>
                <w:szCs w:val="21"/>
                <w:lang w:val="en-US" w:eastAsia="zh-CN"/>
              </w:rPr>
              <w:t>绵阳</w:t>
            </w:r>
            <w:r>
              <w:rPr>
                <w:rFonts w:hint="eastAsia" w:ascii="微软雅黑" w:hAnsi="微软雅黑" w:eastAsia="微软雅黑" w:cs="Times New Roman"/>
                <w:b/>
                <w:bCs w:val="0"/>
                <w:sz w:val="21"/>
                <w:szCs w:val="21"/>
              </w:rPr>
              <w:t>分公司</w:t>
            </w:r>
            <w:bookmarkEnd w:id="28"/>
            <w:r>
              <w:rPr>
                <w:rFonts w:hint="eastAsia" w:ascii="微软雅黑" w:hAnsi="微软雅黑" w:eastAsia="微软雅黑" w:cs="Times New Roman"/>
                <w:bCs/>
                <w:szCs w:val="24"/>
              </w:rPr>
              <w:t>）的</w:t>
            </w:r>
            <w:r>
              <w:rPr>
                <w:rFonts w:hint="eastAsia" w:ascii="微软雅黑" w:hAnsi="微软雅黑" w:eastAsia="微软雅黑" w:cs="Times New Roman"/>
                <w:bCs/>
                <w:szCs w:val="24"/>
                <w:lang w:eastAsia="zh-CN"/>
              </w:rPr>
              <w:t>环境、职业健康安全</w:t>
            </w:r>
            <w:r>
              <w:rPr>
                <w:rFonts w:hint="eastAsia" w:ascii="微软雅黑" w:hAnsi="微软雅黑" w:eastAsia="微软雅黑" w:cs="Times New Roman"/>
                <w:bCs/>
                <w:szCs w:val="24"/>
              </w:rPr>
              <w:t>管理体系适宜、充分、得到良好的实施和保持，体系运行</w:t>
            </w:r>
            <w:r>
              <w:rPr>
                <w:rFonts w:hint="eastAsia" w:ascii="微软雅黑" w:hAnsi="微软雅黑" w:eastAsia="微软雅黑"/>
                <w:spacing w:val="14"/>
                <w:szCs w:val="24"/>
              </w:rPr>
              <w:t>持续有效。</w:t>
            </w:r>
          </w:p>
          <w:p>
            <w:pPr>
              <w:spacing w:line="280" w:lineRule="exact"/>
              <w:ind w:left="331" w:leftChars="88" w:hanging="120" w:hangingChars="50"/>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top"/>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4"/>
          <w:szCs w:val="24"/>
          <w:lang w:val="en-US" w:eastAsia="zh-CN"/>
        </w:rPr>
        <w:t>2020.12.23</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highlight w:val="none"/>
        </w:rPr>
      </w:pPr>
      <w:r>
        <w:rPr>
          <w:b/>
          <w:bCs/>
          <w:sz w:val="21"/>
          <w:szCs w:val="21"/>
          <w:highlight w:val="none"/>
        </w:rPr>
        <w:t>1.</w:t>
      </w:r>
      <w:r>
        <w:rPr>
          <w:rFonts w:hint="eastAsia"/>
          <w:b/>
          <w:bCs/>
          <w:sz w:val="21"/>
          <w:szCs w:val="21"/>
          <w:highlight w:val="none"/>
        </w:rPr>
        <w:t>审核中发现的</w:t>
      </w:r>
      <w:r>
        <w:rPr>
          <w:rFonts w:hint="eastAsia"/>
          <w:b/>
          <w:sz w:val="21"/>
          <w:szCs w:val="21"/>
          <w:highlight w:val="none"/>
        </w:rPr>
        <w:t>□</w:t>
      </w:r>
      <w:r>
        <w:rPr>
          <w:b/>
          <w:sz w:val="21"/>
          <w:szCs w:val="21"/>
          <w:highlight w:val="none"/>
        </w:rPr>
        <w:t>QMS ()</w:t>
      </w:r>
      <w:r>
        <w:rPr>
          <w:rFonts w:hint="eastAsia"/>
          <w:b/>
          <w:sz w:val="21"/>
          <w:szCs w:val="21"/>
          <w:highlight w:val="none"/>
        </w:rPr>
        <w:t>个一般不符合，</w:t>
      </w:r>
      <w:r>
        <w:rPr>
          <w:b/>
          <w:sz w:val="21"/>
          <w:szCs w:val="21"/>
          <w:highlight w:val="none"/>
        </w:rPr>
        <w:t>()</w:t>
      </w:r>
      <w:r>
        <w:rPr>
          <w:rFonts w:hint="eastAsia"/>
          <w:b/>
          <w:sz w:val="21"/>
          <w:szCs w:val="21"/>
          <w:highlight w:val="none"/>
        </w:rPr>
        <w:t>个严重不符合，□验证合格□仍有问题</w:t>
      </w:r>
    </w:p>
    <w:p>
      <w:pPr>
        <w:spacing w:line="360" w:lineRule="exact"/>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lang w:eastAsia="zh-CN"/>
        </w:rPr>
        <w:t>□</w:t>
      </w:r>
      <w:r>
        <w:rPr>
          <w:b/>
          <w:sz w:val="21"/>
          <w:szCs w:val="21"/>
          <w:highlight w:val="none"/>
        </w:rPr>
        <w:t xml:space="preserve">EMS </w:t>
      </w:r>
      <w:r>
        <w:rPr>
          <w:rFonts w:hint="eastAsia"/>
          <w:b/>
          <w:bCs/>
          <w:sz w:val="21"/>
          <w:szCs w:val="21"/>
          <w:highlight w:val="none"/>
        </w:rPr>
        <w:t xml:space="preserve">(  </w:t>
      </w:r>
      <w:r>
        <w:rPr>
          <w:rFonts w:hint="eastAsia"/>
          <w:b/>
          <w:bCs/>
          <w:sz w:val="21"/>
          <w:szCs w:val="21"/>
          <w:highlight w:val="none"/>
          <w:lang w:val="en-US" w:eastAsia="zh-CN"/>
        </w:rPr>
        <w:t xml:space="preserve"> </w:t>
      </w:r>
      <w:r>
        <w:rPr>
          <w:rFonts w:hint="eastAsia"/>
          <w:b/>
          <w:bCs/>
          <w:sz w:val="21"/>
          <w:szCs w:val="21"/>
          <w:highlight w:val="none"/>
        </w:rPr>
        <w:t>)</w:t>
      </w:r>
      <w:r>
        <w:rPr>
          <w:rFonts w:hint="eastAsia"/>
          <w:b/>
          <w:sz w:val="21"/>
          <w:szCs w:val="21"/>
          <w:highlight w:val="none"/>
        </w:rPr>
        <w:t>个一般不符合，</w:t>
      </w:r>
      <w:r>
        <w:rPr>
          <w:rFonts w:hint="eastAsia"/>
          <w:b/>
          <w:bCs/>
          <w:sz w:val="21"/>
          <w:szCs w:val="21"/>
          <w:highlight w:val="none"/>
        </w:rPr>
        <w:t>(    )</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p>
    <w:p>
      <w:pPr>
        <w:spacing w:line="360" w:lineRule="exact"/>
        <w:ind w:firstLine="843" w:firstLineChars="400"/>
        <w:rPr>
          <w:rFonts w:hint="eastAsia"/>
          <w:b/>
          <w:sz w:val="21"/>
          <w:szCs w:val="21"/>
          <w:highlight w:val="none"/>
        </w:rPr>
      </w:pPr>
      <w:r>
        <w:rPr>
          <w:rFonts w:hint="eastAsia"/>
          <w:b/>
          <w:bCs/>
          <w:sz w:val="21"/>
          <w:szCs w:val="21"/>
          <w:highlight w:val="none"/>
        </w:rPr>
        <w:t>审核中发现的</w:t>
      </w:r>
      <w:r>
        <w:rPr>
          <w:rFonts w:hint="eastAsia"/>
          <w:b/>
          <w:sz w:val="21"/>
          <w:szCs w:val="21"/>
          <w:highlight w:val="none"/>
          <w:lang w:eastAsia="zh-CN"/>
        </w:rPr>
        <w:t>□</w:t>
      </w:r>
      <w:r>
        <w:rPr>
          <w:b/>
          <w:sz w:val="21"/>
          <w:szCs w:val="21"/>
          <w:highlight w:val="none"/>
        </w:rPr>
        <w:t xml:space="preserve">OHSMS </w:t>
      </w:r>
      <w:r>
        <w:rPr>
          <w:rFonts w:hint="eastAsia"/>
          <w:b/>
          <w:bCs/>
          <w:sz w:val="21"/>
          <w:szCs w:val="21"/>
          <w:highlight w:val="none"/>
        </w:rPr>
        <w:t>(    )</w:t>
      </w:r>
      <w:r>
        <w:rPr>
          <w:rFonts w:hint="eastAsia"/>
          <w:b/>
          <w:sz w:val="21"/>
          <w:szCs w:val="21"/>
          <w:highlight w:val="none"/>
        </w:rPr>
        <w:t>个一般不符合，</w:t>
      </w:r>
      <w:r>
        <w:rPr>
          <w:rFonts w:hint="eastAsia"/>
          <w:b/>
          <w:bCs/>
          <w:sz w:val="21"/>
          <w:szCs w:val="21"/>
          <w:highlight w:val="none"/>
        </w:rPr>
        <w:t>(    )</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p>
    <w:p>
      <w:pPr>
        <w:spacing w:line="360" w:lineRule="exact"/>
        <w:ind w:firstLine="843" w:firstLineChars="400"/>
        <w:rPr>
          <w:rFonts w:hint="eastAsia"/>
          <w:b/>
          <w:bCs/>
          <w:sz w:val="21"/>
          <w:szCs w:val="21"/>
        </w:rPr>
      </w:pPr>
    </w:p>
    <w:p>
      <w:pPr>
        <w:spacing w:line="360" w:lineRule="exact"/>
        <w:ind w:firstLine="843" w:firstLineChars="400"/>
        <w:rPr>
          <w:b/>
          <w:sz w:val="21"/>
          <w:szCs w:val="21"/>
          <w:u w:val="single"/>
        </w:rPr>
      </w:pPr>
      <w:r>
        <w:rPr>
          <w:rFonts w:hint="eastAsia"/>
          <w:b/>
          <w:bCs/>
          <w:sz w:val="21"/>
          <w:szCs w:val="21"/>
        </w:rPr>
        <w:t>审核</w:t>
      </w: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highlight w:val="none"/>
        </w:rPr>
      </w:pPr>
      <w:r>
        <w:rPr>
          <w:rFonts w:hint="eastAsia"/>
          <w:b/>
          <w:spacing w:val="-10"/>
          <w:sz w:val="21"/>
          <w:szCs w:val="21"/>
          <w:highlight w:val="none"/>
          <w:lang w:eastAsia="zh-CN"/>
        </w:rPr>
        <w:t>□</w:t>
      </w:r>
      <w:r>
        <w:rPr>
          <w:rFonts w:hint="eastAsia"/>
          <w:b/>
          <w:sz w:val="21"/>
          <w:szCs w:val="21"/>
          <w:highlight w:val="none"/>
        </w:rPr>
        <w:t>同意保持注册</w:t>
      </w:r>
      <w:r>
        <w:rPr>
          <w:rFonts w:hint="eastAsia"/>
          <w:b/>
          <w:spacing w:val="-10"/>
          <w:sz w:val="21"/>
          <w:szCs w:val="21"/>
          <w:highlight w:val="none"/>
        </w:rPr>
        <w:t>□</w:t>
      </w:r>
      <w:r>
        <w:rPr>
          <w:rFonts w:hint="eastAsia"/>
          <w:b/>
          <w:sz w:val="21"/>
          <w:szCs w:val="21"/>
          <w:highlight w:val="none"/>
        </w:rPr>
        <w:t>不同意保持注册</w:t>
      </w:r>
    </w:p>
    <w:p>
      <w:pPr>
        <w:pStyle w:val="3"/>
      </w:pPr>
    </w:p>
    <w:p>
      <w:pPr>
        <w:snapToGrid w:val="0"/>
        <w:spacing w:line="280" w:lineRule="exact"/>
        <w:ind w:firstLine="843" w:firstLineChars="400"/>
        <w:rPr>
          <w:rFonts w:hint="default" w:eastAsia="宋体"/>
          <w:b/>
          <w:sz w:val="21"/>
          <w:lang w:val="en-US" w:eastAsia="zh-CN"/>
        </w:rPr>
      </w:pPr>
      <w:r>
        <w:rPr>
          <w:rFonts w:hint="eastAsia"/>
          <w:b/>
          <w:sz w:val="21"/>
          <w:szCs w:val="21"/>
        </w:rPr>
        <w:t>组长签字：</w:t>
      </w:r>
      <w:r>
        <w:rPr>
          <w:rFonts w:hint="eastAsia"/>
          <w:b/>
          <w:sz w:val="21"/>
          <w:szCs w:val="21"/>
          <w:lang w:val="en-US" w:eastAsia="zh-CN"/>
        </w:rPr>
        <w:t xml:space="preserve">                           </w:t>
      </w:r>
      <w:r>
        <w:rPr>
          <w:rFonts w:hint="eastAsia"/>
          <w:b/>
          <w:sz w:val="21"/>
        </w:rPr>
        <w:t>日期：</w:t>
      </w:r>
    </w:p>
    <w:p>
      <w:pPr>
        <w:tabs>
          <w:tab w:val="left" w:pos="6880"/>
          <w:tab w:val="left" w:pos="7740"/>
          <w:tab w:val="left" w:pos="8385"/>
        </w:tabs>
        <w:snapToGrid w:val="0"/>
        <w:spacing w:before="163" w:beforeLines="50"/>
        <w:ind w:firstLine="723" w:firstLineChars="343"/>
        <w:rPr>
          <w:rFonts w:hint="default" w:eastAsia="宋体"/>
          <w:b/>
          <w:sz w:val="21"/>
          <w:szCs w:val="21"/>
          <w:u w:val="single"/>
          <w:lang w:val="en-US" w:eastAsia="zh-CN"/>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宋体"/>
    <w:panose1 w:val="00000000000000000000"/>
    <w:charset w:val="86"/>
    <w:family w:val="roma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98" w:leftChars="-41" w:firstLine="810" w:firstLineChars="450"/>
      <w:jc w:val="left"/>
      <w:rPr>
        <w:rStyle w:val="17"/>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7"/>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CFF3BC"/>
    <w:multiLevelType w:val="singleLevel"/>
    <w:tmpl w:val="C0CFF3BC"/>
    <w:lvl w:ilvl="0" w:tentative="0">
      <w:start w:val="5"/>
      <w:numFmt w:val="decimal"/>
      <w:suff w:val="space"/>
      <w:lvlText w:val="%1."/>
      <w:lvlJc w:val="left"/>
    </w:lvl>
  </w:abstractNum>
  <w:abstractNum w:abstractNumId="1">
    <w:nsid w:val="E89D2F20"/>
    <w:multiLevelType w:val="singleLevel"/>
    <w:tmpl w:val="E89D2F20"/>
    <w:lvl w:ilvl="0" w:tentative="0">
      <w:start w:val="2"/>
      <w:numFmt w:val="decimal"/>
      <w:lvlText w:val="%1."/>
      <w:lvlJc w:val="left"/>
      <w:pPr>
        <w:tabs>
          <w:tab w:val="left" w:pos="312"/>
        </w:tabs>
      </w:p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6AE0E81F"/>
    <w:multiLevelType w:val="singleLevel"/>
    <w:tmpl w:val="6AE0E81F"/>
    <w:lvl w:ilvl="0" w:tentative="0">
      <w:start w:val="2"/>
      <w:numFmt w:val="decimal"/>
      <w:suff w:val="nothing"/>
      <w:lvlText w:val="%1、"/>
      <w:lvlJc w:val="left"/>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221B88"/>
    <w:rsid w:val="25E74770"/>
    <w:rsid w:val="45241D8E"/>
    <w:rsid w:val="4BAD0094"/>
    <w:rsid w:val="55B90190"/>
    <w:rsid w:val="71CB09CB"/>
    <w:rsid w:val="77A645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2"/>
    <w:basedOn w:val="1"/>
    <w:next w:val="4"/>
    <w:qFormat/>
    <w:uiPriority w:val="0"/>
    <w:pPr>
      <w:spacing w:line="300" w:lineRule="auto"/>
      <w:ind w:firstLine="480"/>
    </w:pPr>
    <w:rPr>
      <w:rFonts w:ascii="仿宋体" w:eastAsia="仿宋体"/>
      <w:b/>
      <w:bCs/>
      <w:sz w:val="24"/>
    </w:rPr>
  </w:style>
  <w:style w:type="paragraph" w:customStyle="1" w:styleId="4">
    <w:name w:val="简单回函地址"/>
    <w:basedOn w:val="1"/>
    <w:next w:val="5"/>
    <w:qFormat/>
    <w:uiPriority w:val="0"/>
  </w:style>
  <w:style w:type="paragraph" w:customStyle="1" w:styleId="5">
    <w:name w:val="正文2"/>
    <w:basedOn w:val="1"/>
    <w:qFormat/>
    <w:uiPriority w:val="0"/>
    <w:pPr>
      <w:spacing w:line="360" w:lineRule="auto"/>
      <w:ind w:firstLine="200" w:firstLineChars="200"/>
    </w:pPr>
    <w:rPr>
      <w:sz w:val="24"/>
      <w:szCs w:val="24"/>
    </w:rPr>
  </w:style>
  <w:style w:type="paragraph" w:styleId="6">
    <w:name w:val="Balloon Text"/>
    <w:basedOn w:val="1"/>
    <w:link w:val="12"/>
    <w:semiHidden/>
    <w:qFormat/>
    <w:uiPriority w:val="99"/>
    <w:rPr>
      <w:sz w:val="18"/>
      <w:szCs w:val="18"/>
    </w:rPr>
  </w:style>
  <w:style w:type="paragraph" w:styleId="7">
    <w:name w:val="footer"/>
    <w:basedOn w:val="1"/>
    <w:link w:val="13"/>
    <w:semiHidden/>
    <w:uiPriority w:val="99"/>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6"/>
    <w:semiHidden/>
    <w:qFormat/>
    <w:locked/>
    <w:uiPriority w:val="99"/>
    <w:rPr>
      <w:rFonts w:ascii="Times New Roman" w:hAnsi="Times New Roman" w:eastAsia="宋体" w:cs="Times New Roman"/>
      <w:sz w:val="18"/>
      <w:szCs w:val="18"/>
    </w:rPr>
  </w:style>
  <w:style w:type="character" w:customStyle="1" w:styleId="13">
    <w:name w:val="页脚 Char"/>
    <w:link w:val="7"/>
    <w:semiHidden/>
    <w:qFormat/>
    <w:locked/>
    <w:uiPriority w:val="99"/>
    <w:rPr>
      <w:rFonts w:ascii="Times New Roman" w:hAnsi="Times New Roman" w:eastAsia="宋体" w:cs="Times New Roman"/>
      <w:sz w:val="18"/>
      <w:szCs w:val="18"/>
    </w:rPr>
  </w:style>
  <w:style w:type="character" w:customStyle="1" w:styleId="14">
    <w:name w:val="页眉 Char"/>
    <w:link w:val="8"/>
    <w:qFormat/>
    <w:locked/>
    <w:uiPriority w:val="0"/>
    <w:rPr>
      <w:sz w:val="18"/>
    </w:rPr>
  </w:style>
  <w:style w:type="character" w:customStyle="1" w:styleId="15">
    <w:name w:val="页眉 Char1"/>
    <w:semiHidden/>
    <w:qFormat/>
    <w:uiPriority w:val="99"/>
    <w:rPr>
      <w:rFonts w:ascii="Times New Roman" w:hAnsi="Times New Roman" w:eastAsia="宋体" w:cs="Times New Roman"/>
      <w:sz w:val="18"/>
      <w:szCs w:val="18"/>
    </w:rPr>
  </w:style>
  <w:style w:type="paragraph" w:styleId="16">
    <w:name w:val="List Paragraph"/>
    <w:basedOn w:val="1"/>
    <w:qFormat/>
    <w:uiPriority w:val="99"/>
    <w:pPr>
      <w:ind w:firstLine="420" w:firstLineChars="200"/>
    </w:pPr>
    <w:rPr>
      <w:sz w:val="21"/>
      <w:szCs w:val="24"/>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4</TotalTime>
  <ScaleCrop>false</ScaleCrop>
  <LinksUpToDate>false</LinksUpToDate>
  <CharactersWithSpaces>4386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2020-12-23T02:40:05Z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