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宋体"/>
          <w:bCs/>
          <w:color w:val="000000"/>
          <w:sz w:val="36"/>
          <w:szCs w:val="36"/>
          <w:lang w:eastAsia="zh-CN"/>
        </w:rPr>
      </w:pPr>
      <w:r>
        <w:rPr>
          <w:rFonts w:hint="eastAsia"/>
          <w:sz w:val="24"/>
          <w:szCs w:val="24"/>
        </w:rPr>
        <w:t>受审核部门：</w:t>
      </w:r>
      <w:r>
        <w:rPr>
          <w:rFonts w:hint="eastAsia"/>
          <w:sz w:val="24"/>
          <w:szCs w:val="24"/>
          <w:lang w:eastAsia="zh-CN"/>
        </w:rPr>
        <w:t>管理层、综合部、生产部、质量部、市场部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：严波</w:t>
      </w:r>
      <w:r>
        <w:rPr>
          <w:rFonts w:hint="eastAsia"/>
          <w:sz w:val="24"/>
          <w:szCs w:val="24"/>
          <w:lang w:val="en-US" w:eastAsia="zh-CN"/>
        </w:rPr>
        <w:t xml:space="preserve">    </w:t>
      </w: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r>
        <w:rPr>
          <w:rFonts w:hint="eastAsia"/>
          <w:sz w:val="24"/>
          <w:szCs w:val="24"/>
          <w:lang w:eastAsia="zh-CN"/>
        </w:rPr>
        <w:t>2020年12月21日</w:t>
      </w:r>
    </w:p>
    <w:tbl>
      <w:tblPr>
        <w:tblStyle w:val="9"/>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四川光博电子科技有限公司位于德阳市罗江区金山工业园，是一家专业从事SMT来料加工的OEM企业，主要为客户提供产品加工服务，其范围涵盖网络、通信、计算机、高频头等各类产品。公司坐落</w:t>
            </w:r>
            <w:r>
              <w:rPr>
                <w:rFonts w:hint="eastAsia" w:asciiTheme="minorEastAsia" w:hAnsiTheme="minorEastAsia" w:eastAsiaTheme="minorEastAsia" w:cstheme="minorEastAsia"/>
                <w:sz w:val="21"/>
                <w:szCs w:val="21"/>
                <w:lang w:val="de-DE"/>
              </w:rPr>
              <w:t>于四川省德阳市罗江区金山工业园金莲路1号</w:t>
            </w:r>
            <w:r>
              <w:rPr>
                <w:rFonts w:hint="eastAsia" w:asciiTheme="minorEastAsia" w:hAnsiTheme="minorEastAsia" w:eastAsiaTheme="minorEastAsia" w:cstheme="minorEastAsia"/>
                <w:sz w:val="21"/>
                <w:szCs w:val="21"/>
                <w:lang w:eastAsia="zh-CN"/>
              </w:rPr>
              <w:t>，现有员工</w:t>
            </w:r>
            <w:r>
              <w:rPr>
                <w:rFonts w:hint="eastAsia" w:asciiTheme="minorEastAsia" w:hAnsiTheme="minorEastAsia" w:eastAsiaTheme="minorEastAsia" w:cstheme="minorEastAsia"/>
                <w:sz w:val="21"/>
                <w:szCs w:val="21"/>
                <w:lang w:val="en-US" w:eastAsia="zh-CN"/>
              </w:rPr>
              <w:t>15人，</w:t>
            </w:r>
            <w:r>
              <w:rPr>
                <w:rFonts w:hint="eastAsia" w:asciiTheme="minorEastAsia" w:hAnsiTheme="minorEastAsia" w:eastAsiaTheme="minorEastAsia" w:cstheme="minorEastAsia"/>
                <w:sz w:val="21"/>
                <w:szCs w:val="21"/>
              </w:rPr>
              <w:t>生产经营状况</w:t>
            </w:r>
            <w:r>
              <w:rPr>
                <w:rFonts w:hint="eastAsia" w:asciiTheme="minorEastAsia" w:hAnsiTheme="minorEastAsia" w:eastAsiaTheme="minorEastAsia" w:cstheme="minorEastAsia"/>
                <w:sz w:val="21"/>
                <w:szCs w:val="21"/>
                <w:lang w:eastAsia="zh-CN"/>
              </w:rPr>
              <w:t>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现场审核核实该公司目前成立了四个部门： 综合部、生产部、质量部、市场部 。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核实：生产经营场所为四川省德阳市罗江区金山工业园金莲路1号</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lang w:eastAsia="zh-CN"/>
              </w:rPr>
              <w:t>PCBA的加工</w:t>
            </w:r>
            <w:r>
              <w:rPr>
                <w:rFonts w:hint="eastAsia" w:ascii="宋体" w:hAnsi="宋体"/>
                <w:sz w:val="21"/>
                <w:szCs w:val="21"/>
              </w:rPr>
              <w:t>，与任务书一致。</w:t>
            </w:r>
          </w:p>
          <w:p>
            <w:pPr>
              <w:spacing w:line="400" w:lineRule="exact"/>
              <w:ind w:firstLine="420" w:firstLineChars="200"/>
              <w:rPr>
                <w:rFonts w:hint="eastAsia" w:ascii="宋体" w:hAnsi="宋体"/>
                <w:color w:val="FF0000"/>
                <w:szCs w:val="21"/>
                <w:highlight w:val="none"/>
                <w:lang w:eastAsia="zh-CN"/>
              </w:rPr>
            </w:pPr>
            <w:r>
              <w:rPr>
                <w:rFonts w:hint="eastAsia" w:ascii="宋体" w:hAnsi="宋体"/>
                <w:sz w:val="21"/>
                <w:szCs w:val="21"/>
              </w:rPr>
              <w:t>询问，主</w:t>
            </w:r>
            <w:r>
              <w:rPr>
                <w:rFonts w:hint="eastAsia" w:ascii="宋体" w:hAnsi="宋体"/>
                <w:szCs w:val="21"/>
              </w:rPr>
              <w:t>要设备为</w:t>
            </w:r>
            <w:r>
              <w:rPr>
                <w:rFonts w:hint="eastAsia" w:ascii="宋体" w:hAnsi="宋体"/>
                <w:szCs w:val="21"/>
                <w:lang w:eastAsia="zh-CN"/>
              </w:rPr>
              <w:t>：</w:t>
            </w:r>
            <w:r>
              <w:rPr>
                <w:rFonts w:hint="eastAsia" w:ascii="宋体" w:hAnsi="宋体"/>
                <w:color w:val="auto"/>
                <w:szCs w:val="21"/>
                <w:lang w:val="en-US" w:eastAsia="zh-CN"/>
              </w:rPr>
              <w:t>电脑及办公设备、贴片机</w:t>
            </w:r>
            <w:r>
              <w:rPr>
                <w:rFonts w:hint="eastAsia" w:ascii="宋体" w:hAnsi="宋体"/>
                <w:color w:val="auto"/>
                <w:szCs w:val="21"/>
                <w:highlight w:val="none"/>
                <w:lang w:val="en-US" w:eastAsia="zh-CN"/>
              </w:rPr>
              <w:t>、接驳台、全自动收板机等</w:t>
            </w:r>
            <w:r>
              <w:rPr>
                <w:rFonts w:hint="eastAsia" w:ascii="宋体" w:hAnsi="宋体"/>
                <w:color w:val="auto"/>
                <w:szCs w:val="21"/>
                <w:highlight w:val="none"/>
              </w:rPr>
              <w:t>。</w:t>
            </w:r>
            <w:r>
              <w:rPr>
                <w:rFonts w:hint="eastAsia" w:ascii="宋体" w:hAnsi="宋体"/>
                <w:color w:val="FF0000"/>
                <w:szCs w:val="21"/>
                <w:highlight w:val="none"/>
                <w:lang w:val="en-US" w:eastAsia="zh-CN"/>
              </w:rPr>
              <w:t>暂无关键工序的确认。</w:t>
            </w:r>
          </w:p>
          <w:p>
            <w:pPr>
              <w:spacing w:line="400" w:lineRule="exact"/>
              <w:ind w:firstLine="420" w:firstLineChars="200"/>
              <w:rPr>
                <w:rFonts w:hint="eastAsia" w:ascii="宋体" w:hAnsi="宋体"/>
                <w:sz w:val="21"/>
                <w:szCs w:val="21"/>
              </w:rPr>
            </w:pPr>
            <w:r>
              <w:rPr>
                <w:rFonts w:hint="eastAsia" w:ascii="宋体" w:hAnsi="宋体"/>
                <w:sz w:val="21"/>
                <w:szCs w:val="21"/>
              </w:rPr>
              <w:t>理体系运行</w:t>
            </w:r>
            <w:r>
              <w:rPr>
                <w:rFonts w:hint="eastAsia" w:ascii="宋体" w:hAnsi="宋体" w:cs="Times New Roman"/>
                <w:sz w:val="21"/>
                <w:szCs w:val="21"/>
              </w:rPr>
              <w:t>时间：</w:t>
            </w:r>
            <w:r>
              <w:rPr>
                <w:rFonts w:hint="eastAsia" w:ascii="宋体" w:hAnsi="宋体" w:cs="Times New Roman"/>
                <w:sz w:val="21"/>
                <w:szCs w:val="21"/>
                <w:lang w:eastAsia="zh-CN"/>
              </w:rPr>
              <w:t>2020年8月11日</w:t>
            </w:r>
            <w:r>
              <w:rPr>
                <w:rFonts w:hint="eastAsia" w:ascii="宋体" w:hAnsi="宋体" w:cs="Times New Roman"/>
                <w:sz w:val="21"/>
                <w:szCs w:val="21"/>
              </w:rPr>
              <w:t>。</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组织实际与管理体系文件化信息描述基本一致。有管理层、</w:t>
            </w:r>
            <w:r>
              <w:rPr>
                <w:rFonts w:hint="eastAsia" w:ascii="宋体" w:hAnsi="宋体"/>
                <w:sz w:val="21"/>
                <w:szCs w:val="21"/>
                <w:lang w:eastAsia="zh-CN"/>
              </w:rPr>
              <w:t>综合部、生产部、质量部、市场部。</w:t>
            </w:r>
          </w:p>
          <w:p>
            <w:pPr>
              <w:spacing w:line="400" w:lineRule="exact"/>
              <w:ind w:firstLine="420" w:firstLineChars="200"/>
              <w:rPr>
                <w:rFonts w:hint="eastAsia" w:ascii="宋体" w:hAnsi="宋体" w:cs="Times New Roman"/>
                <w:sz w:val="21"/>
                <w:szCs w:val="21"/>
              </w:rPr>
            </w:pPr>
            <w:r>
              <w:rPr>
                <w:rFonts w:hint="eastAsia" w:ascii="宋体" w:hAnsi="宋体" w:cs="Times New Roman"/>
                <w:sz w:val="21"/>
                <w:szCs w:val="21"/>
              </w:rPr>
              <w:t>查见《相关方要求识别和控制》</w:t>
            </w:r>
          </w:p>
          <w:p>
            <w:pPr>
              <w:spacing w:line="400" w:lineRule="exact"/>
              <w:ind w:firstLine="420" w:firstLineChars="200"/>
              <w:rPr>
                <w:rFonts w:hint="eastAsia" w:ascii="宋体" w:hAnsi="宋体"/>
                <w:sz w:val="21"/>
                <w:szCs w:val="21"/>
                <w:lang w:eastAsia="zh-CN"/>
              </w:rPr>
            </w:pPr>
            <w:r>
              <w:rPr>
                <w:rFonts w:hint="eastAsia" w:ascii="宋体" w:hAnsi="宋体" w:cs="Times New Roman"/>
                <w:sz w:val="21"/>
                <w:szCs w:val="21"/>
              </w:rPr>
              <w:t>相关方：有员工、银行、主管部门、供应商、客户等。</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rPr>
                <w:rFonts w:hint="eastAsia" w:ascii="宋体" w:hAnsi="宋体"/>
                <w:sz w:val="21"/>
                <w:szCs w:val="21"/>
              </w:rPr>
            </w:pPr>
            <w:r>
              <w:rPr>
                <w:rFonts w:hint="eastAsia" w:ascii="宋体" w:hAnsi="宋体"/>
                <w:sz w:val="21"/>
                <w:szCs w:val="21"/>
              </w:rPr>
              <w:t>查，管理体系文件名称：质量手册，程序文件。</w:t>
            </w:r>
          </w:p>
          <w:p>
            <w:pPr>
              <w:spacing w:line="400" w:lineRule="exact"/>
              <w:ind w:firstLine="420" w:firstLineChars="200"/>
              <w:rPr>
                <w:rFonts w:hint="eastAsia" w:ascii="宋体" w:hAnsi="宋体"/>
                <w:sz w:val="21"/>
                <w:szCs w:val="21"/>
              </w:rPr>
            </w:pPr>
          </w:p>
        </w:tc>
        <w:tc>
          <w:tcPr>
            <w:tcW w:w="1741" w:type="dxa"/>
            <w:noWrap w:val="0"/>
            <w:vAlign w:val="top"/>
          </w:tcPr>
          <w:p>
            <w:pPr>
              <w:adjustRightInd w:val="0"/>
              <w:snapToGrid w:val="0"/>
              <w:rPr>
                <w:rFonts w:ascii="宋体" w:hAnsi="宋体" w:cs="宋体"/>
                <w:color w:val="auto"/>
                <w:szCs w:val="21"/>
                <w:highlight w:val="none"/>
              </w:rPr>
            </w:pPr>
            <w:r>
              <w:rPr>
                <w:rFonts w:hint="eastAsia" w:ascii="宋体" w:hAnsi="宋体"/>
                <w:color w:val="auto"/>
                <w:szCs w:val="21"/>
                <w:highlight w:val="none"/>
              </w:rPr>
              <w:t>Q:</w:t>
            </w:r>
            <w:r>
              <w:rPr>
                <w:rFonts w:hint="eastAsia" w:ascii="宋体" w:hAnsi="宋体" w:cs="宋体"/>
                <w:color w:val="auto"/>
                <w:szCs w:val="21"/>
                <w:highlight w:val="none"/>
              </w:rPr>
              <w:t>4.1;4.2;4.3;4.4</w:t>
            </w: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eastAsia="宋体" w:cs="Times New Roman"/>
                <w:color w:val="auto"/>
                <w:kern w:val="2"/>
                <w:sz w:val="21"/>
                <w:szCs w:val="21"/>
                <w:highlight w:val="none"/>
                <w:lang w:val="en-US" w:eastAsia="zh-CN" w:bidi="ar-SA"/>
              </w:rPr>
            </w:pPr>
          </w:p>
        </w:tc>
        <w:tc>
          <w:tcPr>
            <w:tcW w:w="614" w:type="dxa"/>
            <w:noWrap w:val="0"/>
            <w:vAlign w:val="top"/>
          </w:tcPr>
          <w:p>
            <w:pPr>
              <w:spacing w:line="4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符合</w:t>
            </w: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目前加工的PCBA其范围涵盖网络、通信、计算机、高频头等各类产品，按国家相关标准及</w:t>
            </w:r>
            <w:r>
              <w:rPr>
                <w:rFonts w:hint="eastAsia" w:ascii="宋体" w:hAnsi="宋体" w:cs="Times New Roman"/>
                <w:color w:val="auto"/>
                <w:sz w:val="21"/>
                <w:szCs w:val="21"/>
                <w:highlight w:val="none"/>
                <w:lang w:eastAsia="zh-CN"/>
              </w:rPr>
              <w:t>客户要求生产。</w:t>
            </w:r>
          </w:p>
          <w:p>
            <w:pPr>
              <w:widowControl/>
              <w:spacing w:line="400" w:lineRule="exact"/>
              <w:rPr>
                <w:rFonts w:hint="eastAsia" w:ascii="宋体" w:hAnsi="宋体"/>
                <w:sz w:val="21"/>
                <w:szCs w:val="21"/>
                <w:lang w:val="en-US" w:eastAsia="zh-CN"/>
              </w:rPr>
            </w:pPr>
          </w:p>
          <w:p>
            <w:pPr>
              <w:widowControl/>
              <w:spacing w:line="400" w:lineRule="exact"/>
              <w:rPr>
                <w:rFonts w:hint="eastAsia"/>
                <w:b/>
                <w:sz w:val="20"/>
                <w:szCs w:val="22"/>
                <w:lang w:val="en-US" w:eastAsia="zh-CN"/>
              </w:rPr>
            </w:pPr>
          </w:p>
          <w:p>
            <w:pPr>
              <w:widowControl/>
              <w:spacing w:line="400" w:lineRule="exact"/>
              <w:rPr>
                <w:rFonts w:hint="eastAsia" w:ascii="宋体" w:hAnsi="宋体"/>
                <w:sz w:val="21"/>
                <w:szCs w:val="21"/>
              </w:rPr>
            </w:pPr>
            <w:r>
              <w:rPr>
                <w:rFonts w:hint="eastAsia" w:ascii="宋体" w:hAnsi="宋体"/>
                <w:color w:val="auto"/>
                <w:sz w:val="21"/>
                <w:szCs w:val="21"/>
                <w:lang w:val="en-US" w:eastAsia="zh-CN"/>
              </w:rPr>
              <w:t>无。</w:t>
            </w: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Q:6.1.3、9.1.2</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生产工艺</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不适用条款的确认</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外包的识别</w:t>
            </w:r>
          </w:p>
          <w:p>
            <w:pPr>
              <w:spacing w:line="360" w:lineRule="auto"/>
              <w:rPr>
                <w:rFonts w:hint="eastAsia" w:ascii="宋体" w:hAnsi="宋体" w:eastAsia="宋体"/>
                <w:szCs w:val="22"/>
                <w:lang w:val="en-US" w:eastAsia="zh-CN"/>
              </w:rPr>
            </w:pPr>
            <w:r>
              <w:rPr>
                <w:rFonts w:hint="eastAsia"/>
                <w:sz w:val="21"/>
                <w:szCs w:val="21"/>
                <w:lang w:val="en-US" w:eastAsia="zh-CN"/>
              </w:rPr>
              <w:t>质量</w:t>
            </w:r>
            <w:r>
              <w:rPr>
                <w:rFonts w:hint="eastAsia"/>
                <w:sz w:val="21"/>
                <w:szCs w:val="21"/>
              </w:rPr>
              <w:t>方针</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质量目标（QMS）</w:t>
            </w:r>
          </w:p>
        </w:tc>
        <w:tc>
          <w:tcPr>
            <w:tcW w:w="9261" w:type="dxa"/>
            <w:noWrap w:val="0"/>
            <w:vAlign w:val="top"/>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PCBA的加工</w:t>
            </w:r>
            <w:r>
              <w:rPr>
                <w:rFonts w:hint="eastAsia" w:ascii="宋体" w:hAnsi="宋体" w:eastAsia="宋体" w:cs="宋体"/>
                <w:color w:val="auto"/>
                <w:sz w:val="21"/>
                <w:szCs w:val="21"/>
                <w:highlight w:val="none"/>
                <w:lang w:val="en-US" w:eastAsia="zh-CN"/>
              </w:rPr>
              <w:t>流程：</w:t>
            </w:r>
          </w:p>
          <w:p>
            <w:pPr>
              <w:pStyle w:val="2"/>
              <w:rPr>
                <w:rFonts w:hint="default"/>
                <w:lang w:val="en-US" w:eastAsia="zh-CN"/>
              </w:rPr>
            </w:pPr>
            <w:r>
              <w:rPr>
                <w:rFonts w:hint="eastAsia"/>
                <w:lang w:val="en-US" w:eastAsia="zh-CN"/>
              </w:rPr>
              <w:t>来料检验——印刷——贴装——回流焊接——检验——入库。</w:t>
            </w:r>
          </w:p>
          <w:p>
            <w:pPr>
              <w:spacing w:line="360" w:lineRule="auto"/>
              <w:rPr>
                <w:rFonts w:hint="eastAsia" w:ascii="宋体" w:hAnsi="宋体" w:eastAsia="宋体"/>
                <w:color w:val="auto"/>
                <w:szCs w:val="22"/>
                <w:highlight w:val="none"/>
                <w:lang w:val="en-US" w:eastAsia="zh-CN"/>
              </w:rPr>
            </w:pPr>
            <w:r>
              <w:rPr>
                <w:rFonts w:hint="eastAsia" w:ascii="宋体" w:hAnsi="宋体"/>
                <w:color w:val="auto"/>
                <w:szCs w:val="22"/>
                <w:highlight w:val="none"/>
                <w:lang w:val="en-US" w:eastAsia="zh-CN"/>
              </w:rPr>
              <w:t>关键/确认过程：焊接</w:t>
            </w:r>
            <w:bookmarkStart w:id="0" w:name="_GoBack"/>
            <w:bookmarkEnd w:id="0"/>
            <w:r>
              <w:rPr>
                <w:rFonts w:hint="eastAsia" w:ascii="宋体" w:hAnsi="宋体"/>
                <w:color w:val="auto"/>
                <w:szCs w:val="22"/>
                <w:highlight w:val="none"/>
                <w:lang w:val="en-US" w:eastAsia="zh-CN"/>
              </w:rPr>
              <w:t>过程，也是特殊过程</w:t>
            </w:r>
            <w:r>
              <w:rPr>
                <w:rFonts w:hint="eastAsia" w:ascii="宋体" w:hAnsi="宋体" w:eastAsia="宋体"/>
                <w:color w:val="auto"/>
                <w:szCs w:val="22"/>
                <w:highlight w:val="none"/>
                <w:lang w:val="en-US" w:eastAsia="zh-CN"/>
              </w:rPr>
              <w:t>。</w:t>
            </w:r>
          </w:p>
          <w:p>
            <w:pPr>
              <w:spacing w:line="360" w:lineRule="auto"/>
              <w:rPr>
                <w:rFonts w:hint="eastAsia" w:ascii="宋体" w:hAnsi="宋体" w:eastAsia="宋体"/>
                <w:szCs w:val="22"/>
                <w:lang w:val="en-US" w:eastAsia="zh-CN"/>
              </w:rPr>
            </w:pPr>
          </w:p>
          <w:p>
            <w:pPr>
              <w:spacing w:line="360" w:lineRule="auto"/>
              <w:rPr>
                <w:rFonts w:hint="eastAsia" w:ascii="宋体" w:hAnsi="宋体"/>
                <w:sz w:val="21"/>
                <w:szCs w:val="21"/>
                <w:lang w:eastAsia="zh-CN"/>
              </w:rPr>
            </w:pPr>
            <w:r>
              <w:rPr>
                <w:rFonts w:hint="eastAsia" w:ascii="宋体" w:hAnsi="宋体" w:eastAsia="宋体"/>
                <w:szCs w:val="22"/>
                <w:lang w:val="en-US" w:eastAsia="zh-CN"/>
              </w:rPr>
              <w:t>8.3条款</w:t>
            </w:r>
            <w:r>
              <w:rPr>
                <w:rFonts w:hint="eastAsia" w:ascii="宋体" w:hAnsi="宋体"/>
                <w:szCs w:val="22"/>
                <w:lang w:val="en-US" w:eastAsia="zh-CN"/>
              </w:rPr>
              <w:t>，理由：公司PCBA的加工依据国家相关标准及客户要求进行加工,因此标准8.3条款“产品和服务的设计和开发”要求不适用</w:t>
            </w:r>
            <w:r>
              <w:rPr>
                <w:rFonts w:hint="eastAsia" w:ascii="宋体" w:hAnsi="宋体"/>
                <w:sz w:val="21"/>
                <w:szCs w:val="21"/>
                <w:highlight w:val="none"/>
              </w:rPr>
              <w:t>。</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无</w:t>
            </w:r>
          </w:p>
          <w:p>
            <w:pPr>
              <w:spacing w:line="400" w:lineRule="exact"/>
              <w:jc w:val="both"/>
              <w:rPr>
                <w:rFonts w:hint="eastAsia" w:ascii="宋体" w:hAnsi="宋体" w:eastAsia="宋体"/>
                <w:b/>
                <w:color w:val="000000"/>
                <w:sz w:val="21"/>
                <w:szCs w:val="21"/>
                <w:lang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pStyle w:val="8"/>
              <w:spacing w:before="0" w:beforeAutospacing="0" w:after="0" w:afterAutospacing="0" w:line="500" w:lineRule="exact"/>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lang w:eastAsia="zh-CN"/>
              </w:rPr>
              <w:t>成品一次交验合格率</w:t>
            </w:r>
            <w:r>
              <w:rPr>
                <w:rFonts w:hint="eastAsia" w:asciiTheme="minorEastAsia" w:hAnsiTheme="minorEastAsia" w:eastAsiaTheme="minorEastAsia" w:cstheme="minorEastAsia"/>
                <w:b w:val="0"/>
                <w:bCs/>
                <w:spacing w:val="20"/>
                <w:sz w:val="21"/>
                <w:szCs w:val="21"/>
              </w:rPr>
              <w:t>≥95%</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2、合同履行率100%</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lang w:eastAsia="zh-CN"/>
              </w:rPr>
              <w:t>顾客满意率</w:t>
            </w:r>
            <w:r>
              <w:rPr>
                <w:rFonts w:hint="eastAsia" w:asciiTheme="minorEastAsia" w:hAnsiTheme="minorEastAsia" w:eastAsiaTheme="minorEastAsia" w:cstheme="minorEastAsia"/>
                <w:b w:val="0"/>
                <w:bCs/>
                <w:spacing w:val="20"/>
                <w:sz w:val="21"/>
                <w:szCs w:val="21"/>
              </w:rPr>
              <w:t>≥95%</w:t>
            </w:r>
            <w:r>
              <w:rPr>
                <w:rFonts w:hint="eastAsia" w:asciiTheme="minorEastAsia" w:hAnsiTheme="minorEastAsia" w:eastAsiaTheme="minorEastAsia" w:cstheme="minorEastAsia"/>
                <w:b w:val="0"/>
                <w:bCs/>
                <w:spacing w:val="20"/>
                <w:sz w:val="21"/>
                <w:szCs w:val="21"/>
                <w:lang w:eastAsia="zh-CN"/>
              </w:rPr>
              <w:t>。</w:t>
            </w:r>
          </w:p>
          <w:p>
            <w:pPr>
              <w:spacing w:line="360" w:lineRule="auto"/>
              <w:rPr>
                <w:rFonts w:hint="eastAsia" w:ascii="宋体" w:hAnsi="宋体" w:eastAsia="宋体"/>
                <w:szCs w:val="22"/>
                <w:lang w:val="en-US" w:eastAsia="zh-CN"/>
              </w:rPr>
            </w:pP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Q:5.1;6.2</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p>
          <w:p>
            <w:pPr>
              <w:rPr>
                <w:rFonts w:hint="eastAsia" w:eastAsia="宋体"/>
                <w:color w:val="FF0000"/>
                <w:sz w:val="21"/>
                <w:szCs w:val="21"/>
                <w:lang w:eastAsia="zh-CN"/>
              </w:rPr>
            </w:pPr>
            <w:r>
              <w:rPr>
                <w:rFonts w:hint="eastAsia"/>
                <w:color w:val="000000"/>
                <w:sz w:val="21"/>
                <w:szCs w:val="21"/>
                <w:highlight w:val="none"/>
                <w:lang w:eastAsia="zh-CN"/>
              </w:rPr>
              <w:t>钢网、无铅锡膏、纸质印刷品</w:t>
            </w:r>
            <w:r>
              <w:rPr>
                <w:rFonts w:hint="eastAsia"/>
                <w:color w:val="auto"/>
                <w:sz w:val="21"/>
                <w:szCs w:val="21"/>
                <w:highlight w:val="none"/>
                <w:lang w:eastAsia="zh-CN"/>
              </w:rPr>
              <w:t>等</w:t>
            </w:r>
          </w:p>
        </w:tc>
        <w:tc>
          <w:tcPr>
            <w:tcW w:w="1741" w:type="dxa"/>
            <w:noWrap w:val="0"/>
            <w:vAlign w:val="top"/>
          </w:tcPr>
          <w:p>
            <w:pPr>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Q8.3</w:t>
            </w: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员工人数</w:t>
            </w:r>
          </w:p>
          <w:p>
            <w:pPr>
              <w:rPr>
                <w:rFonts w:hint="eastAsia" w:ascii="宋体" w:hAnsi="宋体"/>
                <w:sz w:val="21"/>
                <w:szCs w:val="21"/>
                <w:lang w:val="en-US" w:eastAsia="zh-CN"/>
              </w:rPr>
            </w:pPr>
            <w:r>
              <w:rPr>
                <w:rFonts w:hint="eastAsia" w:ascii="宋体" w:hAnsi="宋体"/>
                <w:sz w:val="21"/>
                <w:szCs w:val="21"/>
                <w:lang w:val="en-US" w:eastAsia="zh-CN"/>
              </w:rPr>
              <w:t>关键岗位人员</w:t>
            </w:r>
          </w:p>
          <w:p>
            <w:pPr>
              <w:rPr>
                <w:rFonts w:hint="eastAsia" w:ascii="宋体" w:hAnsi="宋体"/>
                <w:sz w:val="21"/>
                <w:szCs w:val="21"/>
                <w:lang w:val="en-US" w:eastAsia="zh-CN"/>
              </w:rPr>
            </w:pPr>
            <w:r>
              <w:rPr>
                <w:rFonts w:hint="eastAsia" w:ascii="宋体" w:hAnsi="宋体"/>
                <w:sz w:val="21"/>
                <w:szCs w:val="21"/>
                <w:lang w:val="en-US" w:eastAsia="zh-CN"/>
              </w:rPr>
              <w:t>特殊工种人员</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15人</w:t>
            </w:r>
          </w:p>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r>
              <w:rPr>
                <w:rFonts w:hint="eastAsia" w:ascii="宋体" w:hAnsi="宋体"/>
                <w:color w:val="auto"/>
                <w:sz w:val="21"/>
                <w:szCs w:val="21"/>
                <w:lang w:val="en-US" w:eastAsia="zh-CN"/>
              </w:rPr>
              <w:t>无</w:t>
            </w:r>
          </w:p>
        </w:tc>
        <w:tc>
          <w:tcPr>
            <w:tcW w:w="1741" w:type="dxa"/>
            <w:noWrap w:val="0"/>
            <w:vAlign w:val="top"/>
          </w:tcPr>
          <w:p>
            <w:pPr>
              <w:adjustRightInd w:val="0"/>
              <w:snapToGrid w:val="0"/>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7.2</w:t>
            </w: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261" w:type="dxa"/>
            <w:noWrap w:val="0"/>
            <w:vAlign w:val="top"/>
          </w:tcPr>
          <w:p>
            <w:pPr>
              <w:spacing w:line="400" w:lineRule="exact"/>
              <w:rPr>
                <w:rFonts w:hint="eastAsia" w:ascii="宋体" w:hAnsi="宋体"/>
                <w:color w:val="auto"/>
                <w:sz w:val="21"/>
                <w:szCs w:val="21"/>
                <w:lang w:val="en-US" w:eastAsia="zh-CN"/>
              </w:rPr>
            </w:pPr>
            <w:r>
              <w:rPr>
                <w:rFonts w:hint="eastAsia" w:ascii="宋体" w:hAnsi="宋体"/>
                <w:color w:val="auto"/>
                <w:szCs w:val="21"/>
                <w:lang w:val="en-US" w:eastAsia="zh-CN"/>
              </w:rPr>
              <w:t>电脑及办公设备、贴片机</w:t>
            </w:r>
            <w:r>
              <w:rPr>
                <w:rFonts w:hint="eastAsia" w:ascii="宋体" w:hAnsi="宋体"/>
                <w:color w:val="auto"/>
                <w:szCs w:val="21"/>
                <w:highlight w:val="none"/>
                <w:lang w:val="en-US" w:eastAsia="zh-CN"/>
              </w:rPr>
              <w:t>、接驳台、全自动收板机等</w:t>
            </w:r>
            <w:r>
              <w:rPr>
                <w:rFonts w:hint="eastAsia" w:ascii="宋体" w:hAnsi="宋体"/>
                <w:color w:val="auto"/>
                <w:sz w:val="21"/>
                <w:szCs w:val="21"/>
                <w:lang w:val="en-US" w:eastAsia="zh-CN"/>
              </w:rPr>
              <w:t>。可以满足</w:t>
            </w:r>
            <w:r>
              <w:rPr>
                <w:rFonts w:hint="eastAsia" w:ascii="宋体" w:hAnsi="宋体"/>
                <w:color w:val="auto"/>
                <w:szCs w:val="21"/>
                <w:lang w:eastAsia="zh-CN"/>
              </w:rPr>
              <w:t>PCBA的加工</w:t>
            </w:r>
            <w:r>
              <w:rPr>
                <w:rFonts w:hint="eastAsia" w:ascii="宋体" w:hAnsi="宋体"/>
                <w:color w:val="auto"/>
                <w:sz w:val="21"/>
                <w:szCs w:val="21"/>
                <w:lang w:val="en-US" w:eastAsia="zh-CN"/>
              </w:rPr>
              <w:t>需要。</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无</w:t>
            </w:r>
          </w:p>
          <w:p>
            <w:pPr>
              <w:spacing w:line="400" w:lineRule="exact"/>
              <w:rPr>
                <w:rFonts w:hint="eastAsia" w:ascii="宋体" w:hAnsi="宋体"/>
                <w:color w:val="auto"/>
                <w:szCs w:val="21"/>
                <w:highlight w:val="green"/>
              </w:rPr>
            </w:pPr>
          </w:p>
          <w:p>
            <w:pPr>
              <w:spacing w:line="400" w:lineRule="exact"/>
              <w:rPr>
                <w:rFonts w:hint="eastAsia" w:ascii="宋体" w:hAnsi="宋体" w:cs="宋体"/>
                <w:color w:val="FF0000"/>
                <w:sz w:val="21"/>
                <w:szCs w:val="21"/>
              </w:rPr>
            </w:pPr>
            <w:r>
              <w:rPr>
                <w:rFonts w:hint="eastAsia" w:ascii="宋体" w:hAnsi="宋体"/>
                <w:color w:val="auto"/>
                <w:szCs w:val="21"/>
                <w:lang w:val="en-US" w:eastAsia="zh-CN"/>
              </w:rPr>
              <w:t>AOI光学检测仪，有自校合格证</w:t>
            </w:r>
            <w:r>
              <w:rPr>
                <w:rFonts w:hint="eastAsia" w:ascii="宋体" w:hAnsi="宋体"/>
                <w:color w:val="auto"/>
                <w:szCs w:val="21"/>
                <w:lang w:eastAsia="zh-CN"/>
              </w:rPr>
              <w:t>。</w:t>
            </w: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Q:7.1</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default" w:ascii="宋体" w:hAnsi="宋体" w:eastAsia="宋体" w:cs="Times New Roman"/>
                <w:color w:val="auto"/>
                <w:kern w:val="2"/>
                <w:sz w:val="21"/>
                <w:szCs w:val="21"/>
                <w:highlight w:val="none"/>
                <w:lang w:val="en-US" w:eastAsia="zh-CN" w:bidi="ar-SA"/>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ind w:firstLine="210" w:firstLineChars="10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建立有《内部质量体系审核程序》</w:t>
            </w:r>
          </w:p>
          <w:p>
            <w:pPr>
              <w:spacing w:line="400" w:lineRule="exact"/>
              <w:ind w:firstLine="210" w:firstLineChars="10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 xml:space="preserve">见有《内部审核计划表》 </w:t>
            </w:r>
          </w:p>
          <w:p>
            <w:pPr>
              <w:spacing w:line="400" w:lineRule="exact"/>
              <w:ind w:firstLine="210" w:firstLineChars="1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内审时间：</w:t>
            </w:r>
            <w:r>
              <w:rPr>
                <w:rFonts w:hint="eastAsia" w:cs="Times New Roman"/>
                <w:sz w:val="21"/>
                <w:szCs w:val="21"/>
                <w:lang w:val="en-US" w:eastAsia="zh-CN"/>
              </w:rPr>
              <w:t>2020年11月15日</w:t>
            </w:r>
            <w:r>
              <w:rPr>
                <w:rFonts w:hint="eastAsia" w:ascii="Times New Roman" w:hAnsi="Times New Roman" w:cs="Times New Roman"/>
                <w:sz w:val="21"/>
                <w:szCs w:val="21"/>
                <w:lang w:val="en-US" w:eastAsia="zh-CN"/>
              </w:rPr>
              <w:t xml:space="preserve">       </w:t>
            </w:r>
          </w:p>
          <w:p>
            <w:pPr>
              <w:spacing w:line="400" w:lineRule="exact"/>
              <w:ind w:firstLine="210" w:firstLineChars="1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内审组</w:t>
            </w:r>
            <w:r>
              <w:rPr>
                <w:rFonts w:hint="eastAsia" w:ascii="Times New Roman" w:hAnsi="Times New Roman" w:cs="Times New Roman"/>
                <w:sz w:val="21"/>
                <w:szCs w:val="21"/>
                <w:lang w:val="en-US" w:eastAsia="zh-CN"/>
              </w:rPr>
              <w:t>：张旭良</w:t>
            </w:r>
            <w:r>
              <w:rPr>
                <w:rFonts w:hint="eastAsia" w:ascii="Times New Roman" w:hAnsi="Times New Roman" w:cs="Times New Roman"/>
                <w:sz w:val="21"/>
                <w:szCs w:val="21"/>
                <w:lang w:eastAsia="zh-CN"/>
              </w:rPr>
              <w:t xml:space="preserve">（组长） 、韩莎莎（组员）  </w:t>
            </w:r>
          </w:p>
          <w:p>
            <w:pPr>
              <w:spacing w:line="400" w:lineRule="exact"/>
              <w:ind w:firstLine="210" w:firstLineChars="100"/>
              <w:rPr>
                <w:rFonts w:hint="eastAsia" w:eastAsia="宋体"/>
                <w:sz w:val="21"/>
                <w:szCs w:val="21"/>
                <w:lang w:eastAsia="zh-CN"/>
              </w:rPr>
            </w:pPr>
            <w:r>
              <w:rPr>
                <w:rFonts w:hint="eastAsia" w:ascii="Times New Roman" w:hAnsi="Times New Roman" w:cs="Times New Roman"/>
                <w:sz w:val="21"/>
                <w:szCs w:val="21"/>
                <w:lang w:val="en-US" w:eastAsia="zh-CN"/>
              </w:rPr>
              <w:t>见有：《内审不符合项报告》1份，涉及市场部9.1.2条款在20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年未进行客户满意度调查.针</w:t>
            </w:r>
            <w:r>
              <w:rPr>
                <w:rFonts w:hint="eastAsia" w:ascii="Times New Roman" w:hAnsi="Times New Roman" w:cs="Times New Roman"/>
                <w:sz w:val="21"/>
                <w:szCs w:val="21"/>
                <w:lang w:eastAsia="zh-CN"/>
              </w:rPr>
              <w:t>对该不符合项，已及时采取纠正措施后，经内审员验证关闭。查见《内部审核报告》，有审核结论：公司的体系运行符合自身的质量管理体系及标准要求且得到有效的实施和保持</w:t>
            </w:r>
            <w:r>
              <w:rPr>
                <w:rFonts w:hint="eastAsia" w:cs="Times New Roman"/>
                <w:sz w:val="21"/>
                <w:szCs w:val="21"/>
                <w:lang w:eastAsia="zh-CN"/>
              </w:rPr>
              <w:t>。</w:t>
            </w:r>
          </w:p>
        </w:tc>
        <w:tc>
          <w:tcPr>
            <w:tcW w:w="174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9.</w:t>
            </w:r>
            <w:r>
              <w:rPr>
                <w:rFonts w:hint="eastAsia" w:ascii="宋体" w:hAnsi="宋体" w:cs="Times New Roman"/>
                <w:color w:val="auto"/>
                <w:szCs w:val="21"/>
                <w:highlight w:val="none"/>
              </w:rPr>
              <w:t>2</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审于</w:t>
            </w:r>
            <w:r>
              <w:rPr>
                <w:rFonts w:hint="eastAsia" w:cs="Times New Roman"/>
                <w:sz w:val="21"/>
                <w:szCs w:val="21"/>
                <w:lang w:eastAsia="zh-CN"/>
              </w:rPr>
              <w:t>2020年11月23日</w:t>
            </w:r>
            <w:r>
              <w:rPr>
                <w:rFonts w:hint="eastAsia" w:ascii="Times New Roman" w:hAnsi="Times New Roman" w:cs="Times New Roman"/>
                <w:sz w:val="21"/>
                <w:szCs w:val="21"/>
              </w:rPr>
              <w:t>由总经理</w:t>
            </w:r>
            <w:r>
              <w:rPr>
                <w:rFonts w:hint="eastAsia"/>
                <w:lang w:eastAsia="zh-CN"/>
              </w:rPr>
              <w:t>陈习军</w:t>
            </w:r>
            <w:r>
              <w:rPr>
                <w:rFonts w:hint="eastAsia" w:ascii="Times New Roman" w:hAnsi="Times New Roman" w:cs="Times New Roman"/>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 w:val="21"/>
                <w:szCs w:val="21"/>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rPr>
              <w:t>提出改进项：</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cs="Times New Roman"/>
                <w:kern w:val="0"/>
                <w:sz w:val="21"/>
                <w:szCs w:val="21"/>
                <w:lang w:val="en-US" w:eastAsia="zh-CN"/>
              </w:rPr>
              <w:t>加强销售人员对PCBA的加工产品生产专业知识的培训.查见改进计划。</w:t>
            </w:r>
          </w:p>
        </w:tc>
        <w:tc>
          <w:tcPr>
            <w:tcW w:w="1741" w:type="dxa"/>
            <w:noWrap w:val="0"/>
            <w:vAlign w:val="top"/>
          </w:tcPr>
          <w:p>
            <w:pPr>
              <w:adjustRightInd w:val="0"/>
              <w:snapToGrid w:val="0"/>
              <w:rPr>
                <w:rFonts w:hint="default" w:ascii="宋体" w:hAnsi="宋体" w:cs="Times New Roman"/>
                <w:color w:val="auto"/>
                <w:szCs w:val="21"/>
                <w:highlight w:val="none"/>
                <w:lang w:val="en-US"/>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9.3</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614"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重点审核部门：生产部、质量部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重点审核场所：办公区域、生产场所。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6"/>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5"/>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D5AC9"/>
    <w:rsid w:val="00306B67"/>
    <w:rsid w:val="005E1068"/>
    <w:rsid w:val="0085463B"/>
    <w:rsid w:val="05987322"/>
    <w:rsid w:val="063209E3"/>
    <w:rsid w:val="0A077559"/>
    <w:rsid w:val="0C6262D8"/>
    <w:rsid w:val="0C883374"/>
    <w:rsid w:val="0D61692F"/>
    <w:rsid w:val="0D976999"/>
    <w:rsid w:val="10261F9D"/>
    <w:rsid w:val="114B7DA1"/>
    <w:rsid w:val="144B0275"/>
    <w:rsid w:val="150C321A"/>
    <w:rsid w:val="16341157"/>
    <w:rsid w:val="174B32BF"/>
    <w:rsid w:val="17853BC6"/>
    <w:rsid w:val="181C3B69"/>
    <w:rsid w:val="1A22011D"/>
    <w:rsid w:val="1A4016E3"/>
    <w:rsid w:val="1BFF6102"/>
    <w:rsid w:val="1C185FBB"/>
    <w:rsid w:val="1C1E217D"/>
    <w:rsid w:val="20EB29D7"/>
    <w:rsid w:val="22313B28"/>
    <w:rsid w:val="252F52D2"/>
    <w:rsid w:val="256B73CB"/>
    <w:rsid w:val="26425604"/>
    <w:rsid w:val="27D9607F"/>
    <w:rsid w:val="280F6983"/>
    <w:rsid w:val="2855259E"/>
    <w:rsid w:val="297F2646"/>
    <w:rsid w:val="29CB0114"/>
    <w:rsid w:val="2A8D3292"/>
    <w:rsid w:val="2B8F2252"/>
    <w:rsid w:val="2BE60E48"/>
    <w:rsid w:val="2BEC1F96"/>
    <w:rsid w:val="2D891E55"/>
    <w:rsid w:val="33817A9F"/>
    <w:rsid w:val="3703618E"/>
    <w:rsid w:val="3D155735"/>
    <w:rsid w:val="3F1E18B0"/>
    <w:rsid w:val="40390C58"/>
    <w:rsid w:val="415A44EE"/>
    <w:rsid w:val="42E01319"/>
    <w:rsid w:val="434D3250"/>
    <w:rsid w:val="43B13DB6"/>
    <w:rsid w:val="48881918"/>
    <w:rsid w:val="4A641845"/>
    <w:rsid w:val="4AC7274C"/>
    <w:rsid w:val="4C362FDE"/>
    <w:rsid w:val="4C797C72"/>
    <w:rsid w:val="4CB92FF8"/>
    <w:rsid w:val="516A2ABB"/>
    <w:rsid w:val="53065364"/>
    <w:rsid w:val="54494458"/>
    <w:rsid w:val="561628C3"/>
    <w:rsid w:val="56600550"/>
    <w:rsid w:val="584971E1"/>
    <w:rsid w:val="5ADA2CBF"/>
    <w:rsid w:val="5ED53EE9"/>
    <w:rsid w:val="5EE0744D"/>
    <w:rsid w:val="5F0F17EF"/>
    <w:rsid w:val="607B25EF"/>
    <w:rsid w:val="61B23A7C"/>
    <w:rsid w:val="61BC7B27"/>
    <w:rsid w:val="62867C92"/>
    <w:rsid w:val="633B4610"/>
    <w:rsid w:val="66311EE7"/>
    <w:rsid w:val="6698073F"/>
    <w:rsid w:val="6A316796"/>
    <w:rsid w:val="6C287CDA"/>
    <w:rsid w:val="6D1E5721"/>
    <w:rsid w:val="70F17F9E"/>
    <w:rsid w:val="74EE314C"/>
    <w:rsid w:val="77620ADA"/>
    <w:rsid w:val="7B5B7484"/>
    <w:rsid w:val="7CC05DCA"/>
    <w:rsid w:val="7D110FE6"/>
    <w:rsid w:val="7F392310"/>
    <w:rsid w:val="7F3D7B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13</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2020-12-26T05:34:47Z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