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重庆乐乐环保科技有限公司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43"/>
        <w:gridCol w:w="1320"/>
        <w:gridCol w:w="2664"/>
        <w:gridCol w:w="50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43" w:type="dxa"/>
            <w:vAlign w:val="center"/>
          </w:tcPr>
          <w:p>
            <w:pPr>
              <w:jc w:val="center"/>
              <w:rPr>
                <w:b/>
                <w:sz w:val="21"/>
                <w:szCs w:val="21"/>
              </w:rPr>
            </w:pPr>
            <w:r>
              <w:rPr>
                <w:rFonts w:hint="eastAsia"/>
                <w:b/>
                <w:sz w:val="21"/>
                <w:szCs w:val="21"/>
              </w:rPr>
              <w:t>职务</w:t>
            </w:r>
          </w:p>
        </w:tc>
        <w:tc>
          <w:tcPr>
            <w:tcW w:w="1320" w:type="dxa"/>
            <w:vAlign w:val="center"/>
          </w:tcPr>
          <w:p>
            <w:pPr>
              <w:jc w:val="center"/>
              <w:rPr>
                <w:b/>
                <w:sz w:val="21"/>
                <w:szCs w:val="21"/>
              </w:rPr>
            </w:pPr>
            <w:r>
              <w:rPr>
                <w:rFonts w:hint="eastAsia"/>
                <w:b/>
                <w:sz w:val="21"/>
                <w:szCs w:val="21"/>
              </w:rPr>
              <w:t>注册级别</w:t>
            </w:r>
          </w:p>
        </w:tc>
        <w:tc>
          <w:tcPr>
            <w:tcW w:w="2664" w:type="dxa"/>
            <w:vAlign w:val="center"/>
          </w:tcPr>
          <w:p>
            <w:pPr>
              <w:jc w:val="center"/>
              <w:rPr>
                <w:b/>
                <w:sz w:val="21"/>
                <w:szCs w:val="21"/>
              </w:rPr>
            </w:pPr>
            <w:r>
              <w:rPr>
                <w:rFonts w:hint="eastAsia"/>
                <w:b/>
                <w:sz w:val="21"/>
                <w:szCs w:val="21"/>
              </w:rPr>
              <w:t>审核员注册号</w:t>
            </w:r>
          </w:p>
        </w:tc>
        <w:tc>
          <w:tcPr>
            <w:tcW w:w="123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43" w:type="dxa"/>
            <w:vAlign w:val="center"/>
          </w:tcPr>
          <w:p>
            <w:pPr>
              <w:jc w:val="center"/>
              <w:rPr>
                <w:b/>
                <w:sz w:val="21"/>
                <w:szCs w:val="21"/>
              </w:rPr>
            </w:pPr>
            <w:r>
              <w:rPr>
                <w:b/>
                <w:sz w:val="21"/>
                <w:szCs w:val="21"/>
              </w:rPr>
              <w:t>组长</w:t>
            </w:r>
          </w:p>
        </w:tc>
        <w:tc>
          <w:tcPr>
            <w:tcW w:w="1320"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664"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36" w:type="dxa"/>
            <w:gridSpan w:val="2"/>
            <w:vAlign w:val="center"/>
          </w:tcPr>
          <w:p>
            <w:pPr>
              <w:jc w:val="center"/>
              <w:rPr>
                <w:b/>
                <w:sz w:val="21"/>
                <w:szCs w:val="21"/>
              </w:rPr>
            </w:pPr>
            <w:r>
              <w:rPr>
                <w:b/>
                <w:sz w:val="21"/>
                <w:szCs w:val="21"/>
              </w:rPr>
              <w:t>E:39.02.01</w:t>
            </w:r>
          </w:p>
          <w:p>
            <w:pPr>
              <w:jc w:val="center"/>
              <w:rPr>
                <w:b/>
                <w:sz w:val="21"/>
                <w:szCs w:val="21"/>
              </w:rPr>
            </w:pPr>
            <w:r>
              <w:rPr>
                <w:b/>
                <w:sz w:val="21"/>
                <w:szCs w:val="21"/>
              </w:rPr>
              <w:t>O:39.02.01</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043" w:type="dxa"/>
            <w:vAlign w:val="center"/>
          </w:tcPr>
          <w:p>
            <w:pPr>
              <w:jc w:val="center"/>
              <w:rPr>
                <w:b/>
                <w:sz w:val="21"/>
                <w:szCs w:val="21"/>
              </w:rPr>
            </w:pPr>
            <w:r>
              <w:rPr>
                <w:b/>
                <w:sz w:val="21"/>
                <w:szCs w:val="21"/>
              </w:rPr>
              <w:t>组员</w:t>
            </w:r>
          </w:p>
        </w:tc>
        <w:tc>
          <w:tcPr>
            <w:tcW w:w="1320" w:type="dxa"/>
            <w:vAlign w:val="center"/>
          </w:tcPr>
          <w:p>
            <w:pPr>
              <w:jc w:val="center"/>
              <w:rPr>
                <w:b/>
                <w:sz w:val="21"/>
                <w:szCs w:val="21"/>
              </w:rPr>
            </w:pPr>
            <w:r>
              <w:rPr>
                <w:b/>
                <w:sz w:val="21"/>
                <w:szCs w:val="21"/>
              </w:rPr>
              <w:t>E:审核员</w:t>
            </w:r>
          </w:p>
        </w:tc>
        <w:tc>
          <w:tcPr>
            <w:tcW w:w="2664" w:type="dxa"/>
            <w:vAlign w:val="center"/>
          </w:tcPr>
          <w:p>
            <w:pPr>
              <w:jc w:val="center"/>
              <w:rPr>
                <w:b/>
                <w:sz w:val="21"/>
                <w:szCs w:val="21"/>
              </w:rPr>
            </w:pPr>
            <w:r>
              <w:rPr>
                <w:b/>
                <w:sz w:val="21"/>
                <w:szCs w:val="21"/>
              </w:rPr>
              <w:t>2020-N1EMS-1267598</w:t>
            </w:r>
          </w:p>
        </w:tc>
        <w:tc>
          <w:tcPr>
            <w:tcW w:w="123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43" w:type="dxa"/>
          </w:tcPr>
          <w:p>
            <w:pPr>
              <w:rPr>
                <w:b/>
                <w:sz w:val="21"/>
                <w:szCs w:val="21"/>
              </w:rPr>
            </w:pPr>
          </w:p>
        </w:tc>
        <w:tc>
          <w:tcPr>
            <w:tcW w:w="1320" w:type="dxa"/>
          </w:tcPr>
          <w:p>
            <w:pPr>
              <w:rPr>
                <w:b/>
                <w:sz w:val="21"/>
                <w:szCs w:val="21"/>
              </w:rPr>
            </w:pPr>
          </w:p>
        </w:tc>
        <w:tc>
          <w:tcPr>
            <w:tcW w:w="2664" w:type="dxa"/>
          </w:tcPr>
          <w:p>
            <w:pPr>
              <w:rPr>
                <w:b/>
                <w:sz w:val="21"/>
                <w:szCs w:val="21"/>
              </w:rPr>
            </w:pPr>
          </w:p>
        </w:tc>
        <w:tc>
          <w:tcPr>
            <w:tcW w:w="123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43" w:type="dxa"/>
            <w:vAlign w:val="center"/>
          </w:tcPr>
          <w:p>
            <w:pPr>
              <w:jc w:val="center"/>
              <w:rPr>
                <w:b/>
                <w:sz w:val="21"/>
                <w:szCs w:val="21"/>
              </w:rPr>
            </w:pPr>
            <w:r>
              <w:rPr>
                <w:rFonts w:hint="eastAsia"/>
                <w:b/>
                <w:sz w:val="21"/>
                <w:szCs w:val="21"/>
              </w:rPr>
              <w:t>角色</w:t>
            </w:r>
          </w:p>
        </w:tc>
        <w:tc>
          <w:tcPr>
            <w:tcW w:w="6949"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43" w:type="dxa"/>
            <w:vAlign w:val="center"/>
          </w:tcPr>
          <w:p>
            <w:pPr>
              <w:jc w:val="center"/>
              <w:rPr>
                <w:b/>
                <w:sz w:val="21"/>
                <w:szCs w:val="21"/>
              </w:rPr>
            </w:pPr>
          </w:p>
        </w:tc>
        <w:tc>
          <w:tcPr>
            <w:tcW w:w="6949"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w:t>
      </w:r>
      <w:bookmarkStart w:id="6" w:name="审核类型"/>
      <w:r>
        <w:rPr>
          <w:rFonts w:hint="eastAsia" w:ascii="宋体" w:hAnsi="宋体"/>
          <w:snapToGrid w:val="0"/>
          <w:color w:val="000000"/>
          <w:kern w:val="0"/>
          <w:sz w:val="18"/>
          <w:szCs w:val="21"/>
          <w:u w:val="single"/>
        </w:rPr>
        <w:t>E:监查1,O:监查1</w:t>
      </w:r>
      <w:bookmarkEnd w:id="6"/>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36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000000" w:themeColor="text1"/>
                <w:sz w:val="21"/>
              </w:rPr>
              <w:t>重庆乐乐环保科技有限公司</w:t>
            </w:r>
            <w:bookmarkEnd w:id="11"/>
          </w:p>
        </w:tc>
        <w:tc>
          <w:tcPr>
            <w:tcW w:w="136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11"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重庆市大渡口区杨渡路513号3-2</w:t>
            </w:r>
            <w:bookmarkEnd w:id="12"/>
          </w:p>
        </w:tc>
        <w:tc>
          <w:tcPr>
            <w:tcW w:w="1361" w:type="dxa"/>
            <w:vMerge w:val="restart"/>
            <w:vAlign w:val="center"/>
          </w:tcPr>
          <w:p>
            <w:pPr>
              <w:jc w:val="center"/>
              <w:rPr>
                <w:rFonts w:ascii="宋体"/>
                <w:b/>
                <w:sz w:val="21"/>
              </w:rPr>
            </w:pPr>
            <w:r>
              <w:rPr>
                <w:rFonts w:hint="eastAsia" w:ascii="宋体" w:hAnsi="宋体"/>
                <w:b/>
                <w:sz w:val="21"/>
              </w:rPr>
              <w:t>邮编</w:t>
            </w:r>
          </w:p>
        </w:tc>
        <w:tc>
          <w:tcPr>
            <w:tcW w:w="1811"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重庆市江北区港城东路8号5幢5-1</w:t>
            </w:r>
            <w:bookmarkEnd w:id="14"/>
          </w:p>
        </w:tc>
        <w:tc>
          <w:tcPr>
            <w:tcW w:w="1361" w:type="dxa"/>
            <w:vMerge w:val="continue"/>
            <w:vAlign w:val="center"/>
          </w:tcPr>
          <w:p>
            <w:pPr>
              <w:jc w:val="center"/>
              <w:rPr>
                <w:rFonts w:ascii="宋体"/>
                <w:b/>
                <w:sz w:val="21"/>
              </w:rPr>
            </w:pPr>
          </w:p>
        </w:tc>
        <w:tc>
          <w:tcPr>
            <w:tcW w:w="1811"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重庆市江北区港城东路8号5幢5-1</w:t>
            </w:r>
            <w:bookmarkEnd w:id="16"/>
          </w:p>
        </w:tc>
        <w:tc>
          <w:tcPr>
            <w:tcW w:w="1361" w:type="dxa"/>
            <w:vMerge w:val="continue"/>
            <w:vAlign w:val="center"/>
          </w:tcPr>
          <w:p>
            <w:pPr>
              <w:jc w:val="center"/>
              <w:rPr>
                <w:rFonts w:ascii="宋体"/>
                <w:b/>
                <w:sz w:val="21"/>
              </w:rPr>
            </w:pPr>
          </w:p>
        </w:tc>
        <w:tc>
          <w:tcPr>
            <w:tcW w:w="1811"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刘敏</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13368128461</w:t>
            </w:r>
            <w:bookmarkEnd w:id="19"/>
          </w:p>
        </w:tc>
        <w:tc>
          <w:tcPr>
            <w:tcW w:w="1361" w:type="dxa"/>
            <w:vAlign w:val="center"/>
          </w:tcPr>
          <w:p>
            <w:pPr>
              <w:jc w:val="center"/>
              <w:rPr>
                <w:rFonts w:ascii="宋体"/>
                <w:b/>
                <w:sz w:val="21"/>
              </w:rPr>
            </w:pPr>
            <w:r>
              <w:rPr>
                <w:rFonts w:hint="eastAsia" w:ascii="宋体" w:hAnsi="宋体"/>
                <w:b/>
                <w:sz w:val="21"/>
              </w:rPr>
              <w:t>传真</w:t>
            </w:r>
          </w:p>
        </w:tc>
        <w:tc>
          <w:tcPr>
            <w:tcW w:w="1811"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谢勇</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cs="宋体"/>
                <w:szCs w:val="21"/>
              </w:rPr>
              <w:t>谢勇</w:t>
            </w:r>
          </w:p>
        </w:tc>
        <w:tc>
          <w:tcPr>
            <w:tcW w:w="1361" w:type="dxa"/>
            <w:vAlign w:val="center"/>
          </w:tcPr>
          <w:p>
            <w:pPr>
              <w:jc w:val="center"/>
              <w:rPr>
                <w:rFonts w:ascii="宋体" w:hAnsi="宋体"/>
                <w:b/>
                <w:sz w:val="21"/>
                <w:szCs w:val="21"/>
              </w:rPr>
            </w:pPr>
            <w:r>
              <w:rPr>
                <w:rFonts w:hint="eastAsia" w:ascii="宋体" w:hAnsi="宋体"/>
                <w:b/>
                <w:sz w:val="21"/>
                <w:szCs w:val="21"/>
              </w:rPr>
              <w:t>管理者代表</w:t>
            </w:r>
          </w:p>
        </w:tc>
        <w:tc>
          <w:tcPr>
            <w:tcW w:w="1811" w:type="dxa"/>
          </w:tcPr>
          <w:p>
            <w:pPr>
              <w:rPr>
                <w:rFonts w:ascii="宋体"/>
                <w:b/>
                <w:sz w:val="21"/>
              </w:rPr>
            </w:pPr>
            <w:bookmarkStart w:id="22" w:name="管理者代表"/>
            <w:r>
              <w:rPr>
                <w:rFonts w:ascii="宋体"/>
                <w:b/>
                <w:sz w:val="21"/>
              </w:rPr>
              <w:t>邓久俊</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2020年12月21日 上午至2020年12月21日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E勾选Add1"/>
          </w:p>
          <w:p>
            <w:pPr>
              <w:spacing w:line="360" w:lineRule="exact"/>
              <w:rPr>
                <w:rFonts w:ascii="宋体" w:hAnsi="宋体"/>
                <w:b/>
                <w:sz w:val="21"/>
                <w:szCs w:val="21"/>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rPr>
              <w:t>许可范围内的生活垃圾分类收集及其所涉及的相关环境管理活动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rPr>
              <w:t>许可范围内的生活垃圾分类收集及其所涉及的相关职业健康安全管理活动。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rFonts w:hint="eastAsia" w:ascii="宋体" w:hAnsi="宋体"/>
                <w:b/>
                <w:sz w:val="21"/>
                <w:szCs w:val="21"/>
                <w:lang w:val="en-US" w:eastAsia="zh-CN"/>
              </w:rPr>
            </w:pPr>
            <w:r>
              <w:rPr>
                <w:rFonts w:hint="eastAsia" w:ascii="宋体" w:hAnsi="宋体"/>
                <w:b/>
                <w:sz w:val="21"/>
                <w:szCs w:val="21"/>
                <w:lang w:val="en-US" w:eastAsia="zh-CN"/>
              </w:rPr>
              <w:t>注册地址变更：</w:t>
            </w:r>
          </w:p>
          <w:p>
            <w:pPr>
              <w:rPr>
                <w:szCs w:val="21"/>
              </w:rPr>
            </w:pPr>
            <w:r>
              <w:rPr>
                <w:rFonts w:hint="eastAsia"/>
                <w:szCs w:val="21"/>
              </w:rPr>
              <w:t>原注册地址</w:t>
            </w:r>
            <w:r>
              <w:rPr>
                <w:rFonts w:hint="eastAsia"/>
                <w:szCs w:val="21"/>
                <w:lang w:eastAsia="zh-CN"/>
              </w:rPr>
              <w:t>、</w:t>
            </w:r>
            <w:r>
              <w:rPr>
                <w:rFonts w:hint="eastAsia"/>
                <w:szCs w:val="21"/>
                <w:lang w:val="en-US" w:eastAsia="zh-CN"/>
              </w:rPr>
              <w:t>生产经营地址</w:t>
            </w:r>
            <w:r>
              <w:rPr>
                <w:rFonts w:hint="eastAsia"/>
                <w:szCs w:val="21"/>
              </w:rPr>
              <w:t>：</w:t>
            </w:r>
            <w:r>
              <w:rPr>
                <w:rFonts w:ascii="宋体" w:hAnsi="宋体"/>
                <w:szCs w:val="21"/>
              </w:rPr>
              <w:t>重庆市江北区港城东路8号5幢5-1</w:t>
            </w:r>
          </w:p>
          <w:p>
            <w:pPr>
              <w:tabs>
                <w:tab w:val="left" w:pos="198"/>
                <w:tab w:val="center" w:pos="4807"/>
              </w:tabs>
              <w:jc w:val="left"/>
              <w:rPr>
                <w:rFonts w:hint="default" w:ascii="宋体" w:hAnsi="宋体"/>
                <w:b/>
                <w:sz w:val="21"/>
                <w:szCs w:val="21"/>
                <w:lang w:val="en-US" w:eastAsia="zh-CN"/>
              </w:rPr>
            </w:pPr>
            <w:r>
              <w:rPr>
                <w:rFonts w:hint="eastAsia"/>
                <w:szCs w:val="21"/>
              </w:rPr>
              <w:t>现注册地址</w:t>
            </w:r>
            <w:r>
              <w:rPr>
                <w:rFonts w:hint="eastAsia"/>
                <w:szCs w:val="21"/>
                <w:lang w:eastAsia="zh-CN"/>
              </w:rPr>
              <w:t>、</w:t>
            </w:r>
            <w:r>
              <w:rPr>
                <w:rFonts w:hint="eastAsia"/>
                <w:szCs w:val="21"/>
                <w:lang w:val="en-US" w:eastAsia="zh-CN"/>
              </w:rPr>
              <w:t>生产经营地址</w:t>
            </w:r>
            <w:r>
              <w:rPr>
                <w:rFonts w:hint="eastAsia"/>
                <w:szCs w:val="21"/>
              </w:rPr>
              <w:t>：重庆市大渡口区杨渡路513号3-2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E：39.02.01</w:t>
            </w:r>
          </w:p>
          <w:p>
            <w:pPr>
              <w:spacing w:line="260" w:lineRule="exact"/>
              <w:rPr>
                <w:rFonts w:ascii="宋体" w:hAnsi="宋体"/>
                <w:b/>
                <w:sz w:val="21"/>
                <w:szCs w:val="21"/>
              </w:rPr>
            </w:pPr>
            <w:r>
              <w:rPr>
                <w:rFonts w:ascii="宋体" w:hAnsi="宋体"/>
                <w:b/>
                <w:sz w:val="21"/>
                <w:szCs w:val="21"/>
              </w:rPr>
              <w:t>O：39.02.01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E:2022.12.24</w:t>
            </w:r>
          </w:p>
          <w:p>
            <w:pPr>
              <w:spacing w:line="260" w:lineRule="exact"/>
              <w:rPr>
                <w:rFonts w:hint="default" w:ascii="宋体" w:hAnsi="宋体"/>
                <w:b/>
                <w:sz w:val="21"/>
                <w:szCs w:val="21"/>
                <w:lang w:val="en-US" w:eastAsia="zh-CN"/>
              </w:rPr>
            </w:pPr>
            <w:r>
              <w:rPr>
                <w:rFonts w:hint="eastAsia" w:ascii="宋体" w:hAnsi="宋体"/>
                <w:b/>
                <w:sz w:val="21"/>
                <w:szCs w:val="21"/>
                <w:lang w:val="en-US" w:eastAsia="zh-CN"/>
              </w:rPr>
              <w:t>O:2022.12.24</w:t>
            </w:r>
          </w:p>
        </w:tc>
        <w:tc>
          <w:tcPr>
            <w:tcW w:w="136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11" w:type="dxa"/>
          </w:tcPr>
          <w:p>
            <w:pPr>
              <w:spacing w:line="260" w:lineRule="exact"/>
              <w:rPr>
                <w:rFonts w:hint="eastAsia" w:ascii="宋体"/>
                <w:b/>
                <w:sz w:val="21"/>
                <w:lang w:val="en-US" w:eastAsia="zh-CN"/>
              </w:rPr>
            </w:pPr>
            <w:r>
              <w:rPr>
                <w:rFonts w:hint="eastAsia" w:ascii="宋体"/>
                <w:b/>
                <w:sz w:val="21"/>
                <w:lang w:val="en-US" w:eastAsia="zh-CN"/>
              </w:rPr>
              <w:t>E:2019.12.18-19</w:t>
            </w:r>
          </w:p>
          <w:p>
            <w:pPr>
              <w:spacing w:line="260" w:lineRule="exact"/>
              <w:rPr>
                <w:rFonts w:hint="default" w:ascii="宋体"/>
                <w:b/>
                <w:sz w:val="21"/>
                <w:lang w:val="en-US" w:eastAsia="zh-CN"/>
              </w:rPr>
            </w:pPr>
            <w:r>
              <w:rPr>
                <w:rFonts w:hint="eastAsia" w:ascii="宋体"/>
                <w:b/>
                <w:sz w:val="21"/>
                <w:lang w:val="en-US" w:eastAsia="zh-CN"/>
              </w:rPr>
              <w:t>O:2019.12.18-19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360" w:lineRule="auto"/>
              <w:jc w:val="lef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 w:val="21"/>
                <w:szCs w:val="21"/>
              </w:rPr>
              <w:t>“预防为主，遵规守法，确保环境安全；以人为本，持续改进，实现平安和谐”。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/□50430过程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组织建立了危险源识别、评价控制程序，识别评价了危险源、风险相关的过程，评价出了重要危险源，与之相关的过程有收集、分拣，针对重要危险源制定了管理方案。控制措施实施有效。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hint="eastAsia" w:ascii="宋体" w:hAnsi="宋体" w:eastAsia="宋体"/>
                <w:b/>
                <w:color w:val="000000" w:themeColor="text1"/>
                <w:sz w:val="21"/>
                <w:szCs w:val="21"/>
                <w:lang w:eastAsia="zh-CN"/>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highlight w:val="none"/>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highlight w:val="none"/>
              </w:rPr>
              <w:t>目标并分解到相关职能部门和层次，规定了目标值、计算方法、责任部门、检查人、考核频次等。同时，目标得到沟通和监视评价，通过数据的汇总统计、描述性统计等方法对目标进行了测量（20</w:t>
            </w:r>
            <w:r>
              <w:rPr>
                <w:rFonts w:hint="eastAsia" w:ascii="宋体" w:hAnsi="宋体" w:cs="宋体"/>
                <w:color w:val="000000"/>
                <w:kern w:val="0"/>
                <w:sz w:val="21"/>
                <w:szCs w:val="21"/>
                <w:highlight w:val="none"/>
                <w:lang w:val="en-US" w:eastAsia="zh-CN"/>
              </w:rPr>
              <w:t>20</w:t>
            </w:r>
            <w:r>
              <w:rPr>
                <w:rFonts w:hint="eastAsia" w:ascii="宋体" w:hAnsi="宋体" w:cs="宋体"/>
                <w:color w:val="000000"/>
                <w:kern w:val="0"/>
                <w:sz w:val="21"/>
                <w:szCs w:val="21"/>
                <w:highlight w:val="none"/>
              </w:rPr>
              <w:t>年</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月-11月），总</w:t>
            </w:r>
            <w:r>
              <w:rPr>
                <w:rFonts w:hint="eastAsia" w:ascii="宋体" w:hAnsi="宋体" w:cs="宋体"/>
                <w:color w:val="000000"/>
                <w:kern w:val="0"/>
                <w:sz w:val="21"/>
                <w:szCs w:val="21"/>
              </w:rPr>
              <w:t>体已达到或超过了规定的目标值，但目标的数据分析</w:t>
            </w:r>
            <w:r>
              <w:rPr>
                <w:rFonts w:hint="eastAsia" w:ascii="宋体" w:hAnsi="宋体" w:cs="宋体"/>
                <w:color w:val="000000"/>
                <w:kern w:val="0"/>
                <w:sz w:val="21"/>
                <w:szCs w:val="21"/>
                <w:highlight w:val="none"/>
              </w:rPr>
              <w:t>利用不到位。</w:t>
            </w:r>
          </w:p>
          <w:p>
            <w:pPr>
              <w:spacing w:line="300" w:lineRule="exact"/>
              <w:ind w:firstLine="420" w:firstLineChars="200"/>
              <w:rPr>
                <w:color w:val="000000"/>
                <w:sz w:val="21"/>
                <w:szCs w:val="21"/>
                <w:highlight w:val="none"/>
              </w:rPr>
            </w:pPr>
            <w:r>
              <w:rPr>
                <w:rFonts w:hint="eastAsia"/>
                <w:color w:val="000000"/>
                <w:sz w:val="21"/>
                <w:szCs w:val="21"/>
                <w:highlight w:val="none"/>
              </w:rPr>
              <w:t>环境、职业健康安全目标</w:t>
            </w:r>
            <w:r>
              <w:rPr>
                <w:rFonts w:hint="eastAsia" w:ascii="宋体" w:hAnsi="宋体" w:cs="宋体"/>
                <w:color w:val="000000"/>
                <w:kern w:val="0"/>
                <w:sz w:val="21"/>
                <w:szCs w:val="21"/>
                <w:highlight w:val="none"/>
              </w:rPr>
              <w:t>的实现情况：</w:t>
            </w:r>
          </w:p>
          <w:p>
            <w:pPr>
              <w:numPr>
                <w:ilvl w:val="0"/>
                <w:numId w:val="2"/>
              </w:numPr>
              <w:ind w:firstLine="525" w:firstLineChars="250"/>
              <w:rPr>
                <w:rFonts w:ascii="宋体" w:hAnsi="宋体" w:cs="宋体"/>
                <w:kern w:val="0"/>
                <w:sz w:val="21"/>
                <w:szCs w:val="21"/>
                <w:highlight w:val="none"/>
              </w:rPr>
            </w:pPr>
            <w:r>
              <w:rPr>
                <w:rFonts w:hint="eastAsia" w:ascii="宋体" w:hAnsi="宋体" w:cs="宋体"/>
                <w:kern w:val="0"/>
                <w:sz w:val="21"/>
                <w:szCs w:val="21"/>
                <w:highlight w:val="none"/>
              </w:rPr>
              <w:t>火灾发生率为0；</w:t>
            </w:r>
            <w:r>
              <w:rPr>
                <w:rFonts w:hint="eastAsia" w:ascii="宋体" w:hAnsi="宋体" w:cs="宋体"/>
                <w:kern w:val="0"/>
                <w:sz w:val="21"/>
                <w:szCs w:val="21"/>
                <w:highlight w:val="none"/>
                <w:lang w:val="en-US" w:eastAsia="zh-CN"/>
              </w:rPr>
              <w:t xml:space="preserve">         </w:t>
            </w:r>
            <w:r>
              <w:rPr>
                <w:rFonts w:hint="eastAsia" w:ascii="宋体" w:hAnsi="宋体" w:cs="宋体"/>
                <w:color w:val="000000"/>
                <w:kern w:val="0"/>
                <w:sz w:val="21"/>
                <w:szCs w:val="21"/>
                <w:highlight w:val="none"/>
                <w:lang w:val="en-US" w:eastAsia="zh-CN"/>
              </w:rPr>
              <w:t>实测</w:t>
            </w:r>
            <w:r>
              <w:rPr>
                <w:rFonts w:hint="eastAsia" w:ascii="宋体" w:hAnsi="宋体" w:cs="宋体"/>
                <w:color w:val="000000"/>
                <w:kern w:val="0"/>
                <w:sz w:val="21"/>
                <w:szCs w:val="21"/>
                <w:highlight w:val="none"/>
              </w:rPr>
              <w:t>：未发生火灾事故。</w:t>
            </w:r>
          </w:p>
          <w:p>
            <w:pPr>
              <w:numPr>
                <w:ilvl w:val="0"/>
                <w:numId w:val="2"/>
              </w:numPr>
              <w:ind w:firstLine="525" w:firstLineChars="250"/>
              <w:rPr>
                <w:rFonts w:ascii="宋体" w:hAnsi="宋体" w:cs="宋体"/>
                <w:kern w:val="0"/>
                <w:sz w:val="21"/>
                <w:szCs w:val="21"/>
                <w:highlight w:val="none"/>
              </w:rPr>
            </w:pPr>
            <w:r>
              <w:rPr>
                <w:rFonts w:hint="eastAsia" w:asciiTheme="minorEastAsia" w:hAnsiTheme="minorEastAsia" w:eastAsiaTheme="minorEastAsia" w:cstheme="minorEastAsia"/>
                <w:sz w:val="21"/>
                <w:szCs w:val="21"/>
                <w:highlight w:val="none"/>
              </w:rPr>
              <w:t>员工意外伤害为0</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 xml:space="preserve">       </w:t>
            </w:r>
            <w:r>
              <w:rPr>
                <w:rFonts w:hint="eastAsia" w:ascii="宋体" w:hAnsi="宋体" w:cs="宋体"/>
                <w:color w:val="000000"/>
                <w:kern w:val="0"/>
                <w:sz w:val="21"/>
                <w:szCs w:val="21"/>
                <w:highlight w:val="none"/>
                <w:lang w:val="en-US" w:eastAsia="zh-CN"/>
              </w:rPr>
              <w:t>实测</w:t>
            </w:r>
            <w:r>
              <w:rPr>
                <w:rFonts w:hint="eastAsia" w:ascii="宋体" w:hAnsi="宋体" w:cs="宋体"/>
                <w:color w:val="000000"/>
                <w:kern w:val="0"/>
                <w:sz w:val="21"/>
                <w:szCs w:val="21"/>
                <w:highlight w:val="none"/>
              </w:rPr>
              <w:t>：未发生</w:t>
            </w:r>
            <w:r>
              <w:rPr>
                <w:rFonts w:hint="eastAsia" w:asciiTheme="minorEastAsia" w:hAnsiTheme="minorEastAsia" w:eastAsiaTheme="minorEastAsia" w:cstheme="minorEastAsia"/>
                <w:sz w:val="21"/>
                <w:szCs w:val="21"/>
                <w:highlight w:val="none"/>
              </w:rPr>
              <w:t>员工意外伤害</w:t>
            </w:r>
            <w:r>
              <w:rPr>
                <w:rFonts w:hint="eastAsia" w:ascii="宋体" w:hAnsi="宋体" w:cs="宋体"/>
                <w:color w:val="000000"/>
                <w:kern w:val="0"/>
                <w:sz w:val="21"/>
                <w:szCs w:val="21"/>
                <w:highlight w:val="none"/>
              </w:rPr>
              <w:t>事故。</w:t>
            </w:r>
          </w:p>
          <w:p>
            <w:pPr>
              <w:ind w:firstLine="420" w:firstLineChars="200"/>
              <w:rPr>
                <w:rFonts w:ascii="宋体" w:hAnsi="宋体" w:cs="Times New Roman" w:eastAsiaTheme="minorEastAsia"/>
                <w:b/>
                <w:color w:val="000000" w:themeColor="text1"/>
                <w:kern w:val="2"/>
                <w:sz w:val="21"/>
                <w:szCs w:val="21"/>
                <w:lang w:val="en-US" w:eastAsia="zh-CN" w:bidi="ar-SA"/>
              </w:rPr>
            </w:pPr>
            <w:r>
              <w:rPr>
                <w:rFonts w:hint="eastAsia" w:asciiTheme="minorEastAsia" w:hAnsiTheme="minorEastAsia" w:eastAsiaTheme="minorEastAsia" w:cstheme="minorEastAsia"/>
                <w:sz w:val="21"/>
                <w:szCs w:val="21"/>
                <w:highlight w:val="none"/>
              </w:rPr>
              <w:t>3、固废处置合规率100%；</w:t>
            </w:r>
            <w:r>
              <w:rPr>
                <w:rFonts w:hint="eastAsia" w:asciiTheme="minorEastAsia" w:hAnsiTheme="minorEastAsia" w:eastAsiaTheme="minorEastAsia" w:cstheme="minorEastAsia"/>
                <w:sz w:val="21"/>
                <w:szCs w:val="21"/>
                <w:highlight w:val="none"/>
                <w:lang w:val="en-US" w:eastAsia="zh-CN"/>
              </w:rPr>
              <w:t xml:space="preserve">    </w:t>
            </w:r>
            <w:r>
              <w:rPr>
                <w:rFonts w:hint="eastAsia" w:ascii="宋体" w:hAnsi="宋体" w:cs="宋体" w:eastAsiaTheme="minorEastAsia"/>
                <w:color w:val="000000"/>
                <w:kern w:val="0"/>
                <w:sz w:val="21"/>
                <w:szCs w:val="21"/>
                <w:highlight w:val="none"/>
                <w:lang w:val="en-US" w:eastAsia="zh-CN"/>
              </w:rPr>
              <w:t>实测</w:t>
            </w:r>
            <w:r>
              <w:rPr>
                <w:rFonts w:hint="eastAsia" w:ascii="宋体" w:hAnsi="宋体" w:cs="宋体"/>
                <w:color w:val="000000"/>
                <w:kern w:val="0"/>
                <w:sz w:val="21"/>
                <w:szCs w:val="21"/>
                <w:highlight w:val="none"/>
              </w:rPr>
              <w:t>：</w:t>
            </w:r>
            <w:r>
              <w:rPr>
                <w:rFonts w:hint="eastAsia" w:asciiTheme="minorEastAsia" w:hAnsiTheme="minorEastAsia" w:eastAsiaTheme="minorEastAsia" w:cstheme="minorEastAsia"/>
                <w:sz w:val="21"/>
                <w:szCs w:val="21"/>
                <w:highlight w:val="none"/>
              </w:rPr>
              <w:t>固废处置合规率100%。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7月20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许可范围内的生活垃圾分类收集</w:t>
            </w:r>
            <w:r>
              <w:rPr>
                <w:rFonts w:hint="eastAsia" w:ascii="宋体" w:hAnsi="宋体"/>
                <w:bCs/>
                <w:iCs/>
                <w:sz w:val="21"/>
                <w:szCs w:val="21"/>
              </w:rPr>
              <w:t>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400" w:lineRule="exact"/>
              <w:rPr>
                <w:rFonts w:ascii="宋体" w:hAnsi="宋体" w:eastAsia="宋体" w:cs="Times New Roman"/>
                <w:b/>
                <w:kern w:val="2"/>
                <w:sz w:val="21"/>
                <w:szCs w:val="21"/>
                <w:lang w:val="en-US" w:eastAsia="zh-CN" w:bidi="ar-SA"/>
              </w:rPr>
            </w:pPr>
            <w:r>
              <w:rPr>
                <w:rFonts w:hint="eastAsia" w:ascii="宋体" w:hAnsi="宋体"/>
                <w:b/>
                <w:color w:val="000000" w:themeColor="text1"/>
                <w:sz w:val="21"/>
                <w:szCs w:val="21"/>
              </w:rPr>
              <w:t>设备设施（包括信息系统）、</w:t>
            </w:r>
            <w:r>
              <w:rPr>
                <w:rFonts w:hint="eastAsia" w:ascii="宋体" w:hAnsi="宋体"/>
                <w:sz w:val="21"/>
                <w:szCs w:val="21"/>
                <w:highlight w:val="none"/>
              </w:rPr>
              <w:t>办公场所面积</w:t>
            </w:r>
            <w:r>
              <w:rPr>
                <w:rFonts w:hint="eastAsia" w:ascii="宋体" w:hAnsi="宋体"/>
                <w:sz w:val="21"/>
                <w:szCs w:val="21"/>
                <w:highlight w:val="none"/>
                <w:lang w:val="en-US" w:eastAsia="zh-CN"/>
              </w:rPr>
              <w:t>2</w:t>
            </w:r>
            <w:r>
              <w:rPr>
                <w:rFonts w:hint="eastAsia" w:ascii="宋体" w:hAnsi="宋体"/>
                <w:sz w:val="21"/>
                <w:szCs w:val="21"/>
                <w:highlight w:val="none"/>
              </w:rPr>
              <w:t>00平方左右</w:t>
            </w:r>
            <w:r>
              <w:rPr>
                <w:rFonts w:hint="eastAsia" w:ascii="宋体" w:hAnsi="宋体"/>
                <w:sz w:val="21"/>
                <w:szCs w:val="21"/>
                <w:highlight w:val="none"/>
                <w:lang w:val="en-US" w:eastAsia="zh-CN"/>
              </w:rPr>
              <w:t>,临时</w:t>
            </w:r>
            <w:bookmarkStart w:id="28" w:name="_GoBack"/>
            <w:bookmarkEnd w:id="28"/>
            <w:r>
              <w:rPr>
                <w:rFonts w:hint="eastAsia" w:ascii="宋体" w:hAnsi="宋体" w:cs="宋体"/>
                <w:sz w:val="21"/>
                <w:szCs w:val="21"/>
                <w:highlight w:val="none"/>
              </w:rPr>
              <w:t>服务场所</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化龙桥街道</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2100户</w:t>
            </w:r>
            <w:r>
              <w:rPr>
                <w:rFonts w:hint="eastAsia" w:ascii="宋体" w:hAnsi="宋体"/>
                <w:sz w:val="21"/>
                <w:szCs w:val="21"/>
                <w:highlight w:val="none"/>
              </w:rPr>
              <w:t>左右。</w:t>
            </w:r>
            <w:r>
              <w:rPr>
                <w:rFonts w:hint="eastAsia" w:ascii="宋体" w:hAnsi="宋体" w:cs="宋体"/>
                <w:sz w:val="21"/>
                <w:szCs w:val="21"/>
              </w:rPr>
              <w:t>主要生产设备包括</w:t>
            </w:r>
            <w:r>
              <w:rPr>
                <w:rFonts w:hint="eastAsia" w:ascii="宋体" w:hAnsi="宋体" w:cs="宋体"/>
                <w:color w:val="000000" w:themeColor="text1"/>
                <w:sz w:val="21"/>
                <w:szCs w:val="21"/>
              </w:rPr>
              <w:t>智能垃圾分类收集箱</w:t>
            </w:r>
            <w:r>
              <w:rPr>
                <w:rFonts w:hint="eastAsia"/>
                <w:sz w:val="21"/>
                <w:szCs w:val="21"/>
              </w:rPr>
              <w:t>、电脑及办公设备</w:t>
            </w:r>
            <w:r>
              <w:rPr>
                <w:rFonts w:hint="eastAsia" w:ascii="宋体" w:hAnsi="宋体" w:cs="宋体"/>
                <w:sz w:val="21"/>
                <w:szCs w:val="21"/>
              </w:rPr>
              <w:t>等</w:t>
            </w:r>
            <w:r>
              <w:rPr>
                <w:rFonts w:hint="eastAsia" w:ascii="宋体" w:hAnsi="宋体"/>
                <w:sz w:val="21"/>
                <w:szCs w:val="21"/>
              </w:rPr>
              <w:t>设备，可以满足许可范围内的生活垃圾分类收集的需要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highlight w:val="none"/>
              </w:rPr>
              <w:t>监视和测量资源</w:t>
            </w:r>
          </w:p>
          <w:p>
            <w:pPr>
              <w:spacing w:line="240" w:lineRule="exact"/>
              <w:rPr>
                <w:rFonts w:ascii="宋体" w:hAnsi="宋体" w:eastAsia="宋体" w:cs="Times New Roman"/>
                <w:b/>
                <w:kern w:val="2"/>
                <w:sz w:val="21"/>
                <w:szCs w:val="21"/>
                <w:highlight w:val="none"/>
                <w:lang w:val="en-US" w:eastAsia="zh-CN" w:bidi="ar-SA"/>
              </w:rPr>
            </w:pPr>
            <w:r>
              <w:rPr>
                <w:rFonts w:hint="eastAsia" w:ascii="宋体" w:hAnsi="宋体" w:cs="宋体"/>
                <w:sz w:val="21"/>
                <w:szCs w:val="21"/>
                <w:highlight w:val="none"/>
              </w:rPr>
              <w:t>配置有电子台秤等，检测设备受控。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color w:val="000000" w:themeColor="text1"/>
                <w:sz w:val="21"/>
                <w:szCs w:val="21"/>
              </w:rPr>
            </w:pPr>
            <w:r>
              <w:rPr>
                <w:rFonts w:hint="eastAsia"/>
                <w:b/>
                <w:color w:val="000000" w:themeColor="text1"/>
                <w:sz w:val="21"/>
                <w:szCs w:val="21"/>
              </w:rPr>
              <w:t>(应说明相关证据)：</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rPr>
              <w:t>火灾、意外伤害（交通事故、中暑）等，与之相关的过程有收集、分拣过程，针对不可接受风险制定了管理方案。控制措施实施有效。</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w:t>
            </w:r>
            <w:r>
              <w:rPr>
                <w:rFonts w:hint="eastAsia" w:ascii="宋体" w:hAnsi="宋体" w:eastAsia="宋体" w:cs="宋体"/>
                <w:color w:val="000000"/>
                <w:sz w:val="21"/>
                <w:szCs w:val="21"/>
              </w:rPr>
              <w:t>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-11月目标的测量，</w:t>
            </w:r>
            <w:r>
              <w:rPr>
                <w:rFonts w:hint="eastAsia" w:ascii="宋体" w:hAnsi="宋体" w:cs="宋体"/>
                <w:color w:val="000000"/>
                <w:sz w:val="21"/>
                <w:szCs w:val="21"/>
              </w:rPr>
              <w:t>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highlight w:val="none"/>
                <w:lang w:val="en-US" w:eastAsia="zh-CN" w:bidi="ar-SA"/>
              </w:rPr>
            </w:pPr>
            <w:r>
              <w:rPr>
                <w:rFonts w:hint="eastAsia" w:ascii="宋体" w:hAnsi="宋体" w:eastAsia="宋体" w:cs="宋体"/>
                <w:color w:val="000000"/>
                <w:sz w:val="21"/>
                <w:szCs w:val="21"/>
                <w:highlight w:val="none"/>
              </w:rPr>
              <w:t>建立有《内部审核控制程序》，规定了内审频次一年一次，内审时间：20</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年11月</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日，拟定了审核实施表，明确了内审范围，内审人员经培训合格上岗，能力满足要求，未出现审核本部门情况，内审不符合项</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项，涉及综合部E/S7.</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条款按照计划查对人员能力评价的情况，未提供相关证据，针对该不符合项，已及时采取纠正措施后，经内审员验证关闭。内审的有效性需要改善。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highlight w:val="yellow"/>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年11月2</w:t>
            </w:r>
            <w:r>
              <w:rPr>
                <w:rFonts w:hint="eastAsia" w:ascii="宋体" w:hAnsi="宋体"/>
                <w:sz w:val="21"/>
                <w:szCs w:val="21"/>
                <w:highlight w:val="none"/>
                <w:lang w:val="en-US" w:eastAsia="zh-CN"/>
              </w:rPr>
              <w:t>0</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Times New Roman" w:hAnsi="Times New Roman" w:eastAsia="宋体" w:cs="Times New Roman"/>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sz w:val="21"/>
                <w:szCs w:val="21"/>
              </w:rPr>
            </w:pPr>
            <w:r>
              <w:rPr>
                <w:rFonts w:hint="eastAsia"/>
                <w:b/>
                <w:sz w:val="21"/>
                <w:szCs w:val="21"/>
              </w:rPr>
              <w:t>9. 其他能够标明组织绩效、信誉的证据/信息：</w:t>
            </w:r>
          </w:p>
          <w:p>
            <w:pPr>
              <w:widowControl/>
              <w:spacing w:line="240" w:lineRule="exact"/>
              <w:rPr>
                <w:rFonts w:ascii="Times New Roman" w:hAnsi="Times New Roman" w:eastAsia="宋体" w:cs="Times New Roman"/>
                <w:b/>
                <w:color w:val="FF0000"/>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default" w:ascii="宋体" w:hAnsi="宋体" w:eastAsia="方正仿宋简体"/>
                <w:b/>
                <w:sz w:val="21"/>
                <w:szCs w:val="21"/>
                <w:lang w:val="en-US" w:eastAsia="zh-CN"/>
              </w:rPr>
            </w:pPr>
            <w:r>
              <w:rPr>
                <w:rFonts w:hint="eastAsia" w:ascii="宋体" w:hAnsi="宋体"/>
                <w:b/>
                <w:sz w:val="21"/>
                <w:szCs w:val="21"/>
                <w:highlight w:val="none"/>
                <w:lang w:val="en-US" w:eastAsia="zh-CN"/>
              </w:rPr>
              <w:t>上次不符合为</w:t>
            </w:r>
            <w:r>
              <w:rPr>
                <w:rFonts w:hint="eastAsia" w:ascii="方正仿宋简体" w:eastAsia="方正仿宋简体"/>
                <w:b/>
                <w:sz w:val="21"/>
                <w:szCs w:val="21"/>
                <w:highlight w:val="none"/>
              </w:rPr>
              <w:t>技术</w:t>
            </w:r>
            <w:r>
              <w:rPr>
                <w:rFonts w:hint="eastAsia" w:ascii="方正仿宋简体" w:eastAsia="方正仿宋简体"/>
                <w:b/>
                <w:sz w:val="21"/>
                <w:szCs w:val="21"/>
              </w:rPr>
              <w:t>部</w:t>
            </w:r>
            <w:r>
              <w:rPr>
                <w:rFonts w:hint="eastAsia" w:ascii="方正仿宋简体" w:eastAsia="方正仿宋简体"/>
                <w:b/>
                <w:sz w:val="21"/>
                <w:szCs w:val="21"/>
                <w:lang w:val="en-US" w:eastAsia="zh-CN"/>
              </w:rPr>
              <w:t>8.1条款，</w:t>
            </w:r>
            <w:r>
              <w:rPr>
                <w:rFonts w:hint="eastAsia" w:ascii="宋体" w:hAnsi="宋体"/>
                <w:b/>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本次审核共开具不符合项报告</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u w:val="single"/>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w:t>
      </w:r>
      <w:r>
        <w:rPr>
          <w:rFonts w:hint="eastAsia" w:ascii="宋体" w:hAnsi="宋体"/>
          <w:b/>
          <w:color w:val="000000" w:themeColor="text1"/>
          <w:szCs w:val="21"/>
          <w:u w:val="single"/>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项分布在</w:t>
      </w:r>
      <w:r>
        <w:rPr>
          <w:rFonts w:hint="eastAsia" w:ascii="宋体" w:hAnsi="宋体"/>
          <w:b/>
          <w:color w:val="000000" w:themeColor="text1"/>
          <w:szCs w:val="21"/>
          <w:u w:val="single"/>
          <w:lang w:val="en-US" w:eastAsia="zh-CN"/>
          <w14:textFill>
            <w14:solidFill>
              <w14:schemeClr w14:val="tx1"/>
            </w14:solidFill>
          </w14:textFill>
        </w:rPr>
        <w:t>综合部</w:t>
      </w:r>
      <w:r>
        <w:rPr>
          <w:rFonts w:hint="eastAsia" w:ascii="宋体" w:hAnsi="宋体"/>
          <w:b/>
          <w:color w:val="000000" w:themeColor="text1"/>
          <w:szCs w:val="21"/>
          <w14:textFill>
            <w14:solidFill>
              <w14:schemeClr w14:val="tx1"/>
            </w14:solidFill>
          </w14:textFill>
        </w:rPr>
        <w:t>部门</w:t>
      </w:r>
      <w:r>
        <w:rPr>
          <w:rFonts w:hint="eastAsia" w:ascii="宋体" w:hAnsi="宋体"/>
          <w:b/>
          <w:color w:val="000000" w:themeColor="text1"/>
          <w:szCs w:val="21"/>
          <w:u w:val="single"/>
          <w:lang w:val="en-US" w:eastAsia="zh-CN"/>
          <w14:textFill>
            <w14:solidFill>
              <w14:schemeClr w14:val="tx1"/>
            </w14:solidFill>
          </w14:textFill>
        </w:rPr>
        <w:t>E/S</w:t>
      </w:r>
      <w:r>
        <w:rPr>
          <w:rFonts w:hint="eastAsia" w:ascii="宋体" w:hAnsi="宋体"/>
          <w:b/>
          <w:color w:val="000000" w:themeColor="text1"/>
          <w:szCs w:val="21"/>
          <w:u w:val="single"/>
          <w:lang w:val="en-US" w:eastAsia="zh-CN"/>
          <w14:textFill>
            <w14:solidFill>
              <w14:schemeClr w14:val="tx1"/>
            </w14:solidFill>
          </w14:textFill>
        </w:rPr>
        <w:t>9.1.1</w:t>
      </w:r>
      <w:r>
        <w:rPr>
          <w:rFonts w:hint="eastAsia" w:ascii="宋体" w:hAnsi="宋体"/>
          <w:b/>
          <w:color w:val="000000" w:themeColor="text1"/>
          <w:szCs w:val="21"/>
          <w14:textFill>
            <w14:solidFill>
              <w14:schemeClr w14:val="tx1"/>
            </w14:solidFill>
          </w14:textFill>
        </w:rPr>
        <w:t>条款，见不符合项分布表。（</w:t>
      </w:r>
      <w:r>
        <w:rPr>
          <w:rFonts w:ascii="宋体" w:hAnsi="宋体"/>
          <w:b/>
          <w:color w:val="000000" w:themeColor="text1"/>
          <w:szCs w:val="21"/>
          <w14:textFill>
            <w14:solidFill>
              <w14:schemeClr w14:val="tx1"/>
            </w14:solidFill>
          </w14:textFill>
        </w:rPr>
        <w:t>Q/J/E/S</w:t>
      </w:r>
      <w:r>
        <w:rPr>
          <w:rFonts w:hint="eastAsia" w:ascii="宋体" w:hAnsi="宋体"/>
          <w:b/>
          <w:color w:val="000000" w:themeColor="text1"/>
          <w:szCs w:val="21"/>
          <w14:textFill>
            <w14:solidFill>
              <w14:schemeClr w14:val="tx1"/>
            </w14:solidFill>
          </w14:textFill>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综上所述，审核组一致认为，（重庆乐乐环保科技有限公司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000000" w:themeColor="text1"/>
          <w:sz w:val="21"/>
          <w:szCs w:val="21"/>
          <w14:textFill>
            <w14:solidFill>
              <w14:schemeClr w14:val="tx1"/>
            </w14:solidFill>
          </w14:textFill>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w:t>
      </w:r>
      <w:r>
        <w:rPr>
          <w:rFonts w:hint="eastAsia"/>
          <w:b/>
          <w:color w:val="000000" w:themeColor="text1"/>
          <w:sz w:val="21"/>
          <w:szCs w:val="21"/>
          <w14:textFill>
            <w14:solidFill>
              <w14:schemeClr w14:val="tx1"/>
            </w14:solidFill>
          </w14:textFill>
        </w:rPr>
        <w:t>题</w:t>
      </w:r>
    </w:p>
    <w:p>
      <w:pPr>
        <w:spacing w:line="360" w:lineRule="exact"/>
        <w:ind w:firstLine="843" w:firstLineChars="4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审核中发现的□50430 (    )个一般不符合，(    )个严重不符合，□验证合格□仍有问题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lang w:eastAsia="zh-CN"/>
          <w14:textFill>
            <w14:solidFill>
              <w14:schemeClr w14:val="tx1"/>
            </w14:solidFill>
          </w14:textFill>
        </w:rPr>
        <w:t>■</w:t>
      </w:r>
      <w:r>
        <w:rPr>
          <w:b/>
          <w:color w:val="000000" w:themeColor="text1"/>
          <w:sz w:val="21"/>
          <w:szCs w:val="21"/>
          <w14:textFill>
            <w14:solidFill>
              <w14:schemeClr w14:val="tx1"/>
            </w14:solidFill>
          </w14:textFill>
        </w:rPr>
        <w:t>EMS (</w:t>
      </w:r>
      <w:r>
        <w:rPr>
          <w:rFonts w:hint="eastAsia"/>
          <w:b/>
          <w:color w:val="000000" w:themeColor="text1"/>
          <w:sz w:val="21"/>
          <w:szCs w:val="21"/>
          <w:lang w:val="en-US" w:eastAsia="zh-CN"/>
          <w14:textFill>
            <w14:solidFill>
              <w14:schemeClr w14:val="tx1"/>
            </w14:solidFill>
          </w14:textFill>
        </w:rPr>
        <w:t>1</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w:t>
      </w:r>
      <w:r>
        <w:rPr>
          <w:rFonts w:hint="eastAsia"/>
          <w:b/>
          <w:color w:val="000000" w:themeColor="text1"/>
          <w:sz w:val="21"/>
          <w:szCs w:val="21"/>
          <w:lang w:val="en-US" w:eastAsia="zh-CN"/>
          <w14:textFill>
            <w14:solidFill>
              <w14:schemeClr w14:val="tx1"/>
            </w14:solidFill>
          </w14:textFill>
        </w:rPr>
        <w:t>0</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个严重不符合，</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bCs/>
          <w:color w:val="000000" w:themeColor="text1"/>
          <w:sz w:val="21"/>
          <w:szCs w:val="21"/>
          <w:lang w:eastAsia="zh-CN"/>
          <w14:textFill>
            <w14:solidFill>
              <w14:schemeClr w14:val="tx1"/>
            </w14:solidFill>
          </w14:textFill>
        </w:rPr>
        <w:t>■</w:t>
      </w:r>
      <w:r>
        <w:rPr>
          <w:b/>
          <w:color w:val="000000" w:themeColor="text1"/>
          <w:sz w:val="21"/>
          <w:szCs w:val="21"/>
          <w14:textFill>
            <w14:solidFill>
              <w14:schemeClr w14:val="tx1"/>
            </w14:solidFill>
          </w14:textFill>
        </w:rPr>
        <w:t xml:space="preserve">OHSMS (  </w:t>
      </w:r>
      <w:r>
        <w:rPr>
          <w:rFonts w:hint="eastAsia"/>
          <w:b/>
          <w:color w:val="000000" w:themeColor="text1"/>
          <w:sz w:val="21"/>
          <w:szCs w:val="21"/>
          <w:lang w:val="en-US" w:eastAsia="zh-CN"/>
          <w14:textFill>
            <w14:solidFill>
              <w14:schemeClr w14:val="tx1"/>
            </w14:solidFill>
          </w14:textFill>
        </w:rPr>
        <w:t>1</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xml:space="preserve">(  </w:t>
      </w:r>
      <w:r>
        <w:rPr>
          <w:rFonts w:hint="eastAsia"/>
          <w:b/>
          <w:color w:val="000000" w:themeColor="text1"/>
          <w:sz w:val="21"/>
          <w:szCs w:val="21"/>
          <w:lang w:val="en-US" w:eastAsia="zh-CN"/>
          <w14:textFill>
            <w14:solidFill>
              <w14:schemeClr w14:val="tx1"/>
            </w14:solidFill>
          </w14:textFill>
        </w:rPr>
        <w:t>0</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个严重不符合，</w:t>
      </w:r>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验证合格□仍有问题</w:t>
      </w:r>
      <w:r>
        <w:rPr>
          <w:rFonts w:hint="eastAsia"/>
          <w:b/>
          <w:bCs/>
          <w:color w:val="000000" w:themeColor="text1"/>
          <w:sz w:val="21"/>
          <w:szCs w:val="21"/>
          <w14:textFill>
            <w14:solidFill>
              <w14:schemeClr w14:val="tx1"/>
            </w14:solidFill>
          </w14:textFill>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rPr>
          <w:rFonts w:hint="default" w:eastAsia="宋体"/>
          <w:lang w:val="en-US" w:eastAsia="zh-CN"/>
        </w:rPr>
      </w:pP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40E8CCD"/>
    <w:multiLevelType w:val="singleLevel"/>
    <w:tmpl w:val="140E8CCD"/>
    <w:lvl w:ilvl="0" w:tentative="0">
      <w:start w:val="3"/>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F59A5"/>
    <w:rsid w:val="11E003BF"/>
    <w:rsid w:val="1B9538D3"/>
    <w:rsid w:val="1BDA6E01"/>
    <w:rsid w:val="1E292B02"/>
    <w:rsid w:val="287C7118"/>
    <w:rsid w:val="35390197"/>
    <w:rsid w:val="508A5F97"/>
    <w:rsid w:val="5C280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2020-12-21T06:35:35Z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