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6"/>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重庆乐乐环保科技有限公司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重庆市江北区港城东路8号5幢5-1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刘敏</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13368128461</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邓久俊</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0650-2019-EO-2020</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lang w:eastAsia="zh-CN"/>
              </w:rPr>
              <w:t>■</w:t>
            </w:r>
            <w:r>
              <w:rPr>
                <w:spacing w:val="-2"/>
                <w:sz w:val="20"/>
              </w:rPr>
              <w:t>EMS</w:t>
            </w:r>
            <w:r>
              <w:rPr>
                <w:rFonts w:hint="eastAsia"/>
                <w:spacing w:val="-2"/>
                <w:sz w:val="20"/>
                <w:lang w:eastAsia="zh-CN"/>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lang w:eastAsia="zh-CN"/>
              </w:rPr>
              <w:t>■</w:t>
            </w:r>
            <w:r>
              <w:rPr>
                <w:rFonts w:hint="eastAsia" w:ascii="宋体" w:hAnsi="宋体"/>
                <w:b/>
                <w:bCs/>
                <w:sz w:val="20"/>
              </w:rPr>
              <w:t>保持认证注册资格：___E:监查1,O:监查1_______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E：许可范围内的生活垃圾分类收集及其所涉及的相关环境管理活动</w:t>
            </w:r>
          </w:p>
          <w:p>
            <w:pPr>
              <w:rPr>
                <w:sz w:val="20"/>
              </w:rPr>
            </w:pPr>
            <w:r>
              <w:rPr>
                <w:sz w:val="20"/>
              </w:rPr>
              <w:t>O：许可范围内的生活垃圾分类收集及其所涉及的相关职业健康安全管理活动。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E：39.02.01</w:t>
            </w:r>
          </w:p>
          <w:p>
            <w:pPr>
              <w:rPr>
                <w:sz w:val="20"/>
              </w:rPr>
            </w:pPr>
            <w:r>
              <w:rPr>
                <w:sz w:val="20"/>
              </w:rPr>
              <w:t>O：39.02.01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 GB/T 28001-2011 idt OHSMS 18001:2007标准</w:t>
            </w:r>
          </w:p>
          <w:p>
            <w:pPr>
              <w:tabs>
                <w:tab w:val="center" w:pos="4153"/>
                <w:tab w:val="right" w:pos="8306"/>
              </w:tabs>
              <w:snapToGrid w:val="0"/>
              <w:spacing w:line="276" w:lineRule="auto"/>
              <w:rPr>
                <w:b/>
                <w:sz w:val="20"/>
                <w:lang w:val="de-DE"/>
              </w:rPr>
            </w:pPr>
            <w:bookmarkStart w:id="14" w:name="S勾选Add"/>
            <w:r>
              <w:rPr>
                <w:rFonts w:hint="eastAsia"/>
                <w:b/>
                <w:sz w:val="20"/>
                <w:lang w:val="de-DE"/>
              </w:rPr>
              <w:t>■</w:t>
            </w:r>
            <w:bookmarkEnd w:id="14"/>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eastAsia="zh-CN"/>
              </w:rPr>
              <w:t>■</w:t>
            </w:r>
            <w:r>
              <w:rPr>
                <w:rFonts w:hint="eastAsia"/>
                <w:b/>
                <w:sz w:val="20"/>
                <w:lang w:val="de-DE"/>
              </w:rPr>
              <w:t xml:space="preserve"> 受审核方管理体系文件  </w:t>
            </w:r>
            <w:r>
              <w:rPr>
                <w:rFonts w:hint="eastAsia"/>
                <w:b/>
                <w:sz w:val="20"/>
                <w:lang w:val="de-DE" w:eastAsia="zh-CN"/>
              </w:rPr>
              <w:t>■</w:t>
            </w:r>
            <w:r>
              <w:rPr>
                <w:rFonts w:hint="eastAsia"/>
                <w:b/>
                <w:sz w:val="20"/>
                <w:lang w:val="de-DE"/>
              </w:rPr>
              <w:t xml:space="preserve">适用的法律法规  </w:t>
            </w:r>
            <w:r>
              <w:rPr>
                <w:rFonts w:hint="eastAsia"/>
                <w:b/>
                <w:sz w:val="20"/>
                <w:lang w:val="de-DE" w:eastAsia="zh-CN"/>
              </w:rPr>
              <w:t>■</w:t>
            </w:r>
            <w:r>
              <w:rPr>
                <w:rFonts w:hint="eastAsia"/>
                <w:b/>
                <w:sz w:val="20"/>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2020年12月21日 上午</w:t>
            </w:r>
            <w:bookmarkEnd w:id="15"/>
            <w:r>
              <w:rPr>
                <w:rFonts w:hint="eastAsia"/>
                <w:b/>
                <w:sz w:val="20"/>
              </w:rPr>
              <w:t>至</w:t>
            </w:r>
            <w:bookmarkStart w:id="16" w:name="审核结束日"/>
            <w:r>
              <w:rPr>
                <w:rFonts w:hint="eastAsia"/>
                <w:b/>
                <w:sz w:val="20"/>
              </w:rPr>
              <w:t>2020年12月21日 下午</w:t>
            </w:r>
            <w:bookmarkEnd w:id="16"/>
            <w:r>
              <w:rPr>
                <w:rFonts w:hint="eastAsia"/>
                <w:b/>
                <w:sz w:val="20"/>
              </w:rPr>
              <w:t xml:space="preserve">，共 </w:t>
            </w:r>
            <w:bookmarkStart w:id="17" w:name="审核天数"/>
            <w:r>
              <w:rPr>
                <w:rFonts w:hint="eastAsia"/>
                <w:b/>
                <w:sz w:val="20"/>
              </w:rPr>
              <w:t>1.0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ascii="宋体" w:hAnsi="宋体" w:eastAsia="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文平</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2018-N1EMS-2093566</w:t>
            </w:r>
          </w:p>
          <w:p>
            <w:pPr>
              <w:jc w:val="center"/>
              <w:rPr>
                <w:sz w:val="20"/>
              </w:rPr>
            </w:pPr>
            <w:r>
              <w:rPr>
                <w:sz w:val="20"/>
              </w:rPr>
              <w:t>2019-N1OHSMS-2093566</w:t>
            </w:r>
          </w:p>
        </w:tc>
        <w:tc>
          <w:tcPr>
            <w:tcW w:w="1559" w:type="dxa"/>
            <w:gridSpan w:val="5"/>
            <w:vAlign w:val="center"/>
          </w:tcPr>
          <w:p>
            <w:pPr>
              <w:jc w:val="center"/>
              <w:rPr>
                <w:sz w:val="20"/>
              </w:rPr>
            </w:pPr>
            <w:r>
              <w:rPr>
                <w:sz w:val="20"/>
              </w:rPr>
              <w:t>E:39.02.01</w:t>
            </w:r>
          </w:p>
          <w:p>
            <w:pPr>
              <w:jc w:val="center"/>
              <w:rPr>
                <w:sz w:val="20"/>
              </w:rPr>
            </w:pPr>
            <w:r>
              <w:rPr>
                <w:sz w:val="20"/>
              </w:rPr>
              <w:t>O:39.02.01</w:t>
            </w:r>
          </w:p>
        </w:tc>
        <w:tc>
          <w:tcPr>
            <w:tcW w:w="1324"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冉景洲</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E:审核员</w:t>
            </w:r>
          </w:p>
        </w:tc>
        <w:tc>
          <w:tcPr>
            <w:tcW w:w="3402" w:type="dxa"/>
            <w:gridSpan w:val="5"/>
            <w:vAlign w:val="center"/>
          </w:tcPr>
          <w:p>
            <w:pPr>
              <w:jc w:val="center"/>
              <w:rPr>
                <w:sz w:val="20"/>
              </w:rPr>
            </w:pPr>
            <w:r>
              <w:rPr>
                <w:sz w:val="20"/>
              </w:rPr>
              <w:t>2020-N1EMS-1267598</w:t>
            </w:r>
          </w:p>
        </w:tc>
        <w:tc>
          <w:tcPr>
            <w:tcW w:w="1559" w:type="dxa"/>
            <w:gridSpan w:val="5"/>
            <w:vAlign w:val="center"/>
          </w:tcPr>
          <w:p>
            <w:pPr>
              <w:jc w:val="center"/>
              <w:rPr>
                <w:sz w:val="20"/>
              </w:rPr>
            </w:pPr>
          </w:p>
        </w:tc>
        <w:tc>
          <w:tcPr>
            <w:tcW w:w="1324" w:type="dxa"/>
            <w:vAlign w:val="center"/>
          </w:tcPr>
          <w:p>
            <w:pPr>
              <w:jc w:val="center"/>
              <w:rPr>
                <w:sz w:val="20"/>
              </w:rPr>
            </w:pPr>
            <w:r>
              <w:rPr>
                <w:sz w:val="20"/>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rPr>
                <w:sz w:val="20"/>
              </w:rPr>
            </w:pPr>
          </w:p>
          <w:p>
            <w:pPr>
              <w:rPr>
                <w:sz w:val="20"/>
              </w:rPr>
            </w:pPr>
          </w:p>
        </w:tc>
        <w:tc>
          <w:tcPr>
            <w:tcW w:w="780" w:type="dxa"/>
            <w:gridSpan w:val="2"/>
            <w:vAlign w:val="center"/>
          </w:tcPr>
          <w:p>
            <w:pPr>
              <w:rPr>
                <w:sz w:val="20"/>
              </w:rPr>
            </w:pPr>
          </w:p>
        </w:tc>
        <w:tc>
          <w:tcPr>
            <w:tcW w:w="720" w:type="dxa"/>
            <w:vAlign w:val="center"/>
          </w:tcPr>
          <w:p>
            <w:pPr>
              <w:rPr>
                <w:sz w:val="20"/>
              </w:rPr>
            </w:pPr>
          </w:p>
        </w:tc>
        <w:tc>
          <w:tcPr>
            <w:tcW w:w="1141" w:type="dxa"/>
            <w:vAlign w:val="center"/>
          </w:tcPr>
          <w:p>
            <w:pPr>
              <w:rPr>
                <w:sz w:val="20"/>
              </w:rPr>
            </w:pPr>
          </w:p>
        </w:tc>
        <w:tc>
          <w:tcPr>
            <w:tcW w:w="3402" w:type="dxa"/>
            <w:gridSpan w:val="5"/>
            <w:vAlign w:val="center"/>
          </w:tcPr>
          <w:p>
            <w:pPr>
              <w:rPr>
                <w:sz w:val="20"/>
              </w:rPr>
            </w:pPr>
          </w:p>
        </w:tc>
        <w:tc>
          <w:tcPr>
            <w:tcW w:w="1559" w:type="dxa"/>
            <w:gridSpan w:val="5"/>
            <w:vAlign w:val="center"/>
          </w:tcPr>
          <w:p>
            <w:pPr>
              <w:rPr>
                <w:sz w:val="20"/>
              </w:rPr>
            </w:pPr>
          </w:p>
        </w:tc>
        <w:tc>
          <w:tcPr>
            <w:tcW w:w="1324"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sz w:val="20"/>
              </w:rPr>
            </w:pPr>
            <w:r>
              <w:rPr>
                <w:sz w:val="20"/>
              </w:rPr>
              <w:t>文平</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p>
          <w:p>
            <w:pPr>
              <w:rPr>
                <w:sz w:val="20"/>
              </w:rPr>
            </w:pPr>
            <w:r>
              <w:rPr>
                <w:rFonts w:ascii="宋体" w:hAnsi="宋体" w:cs="宋体"/>
                <w:color w:val="000000"/>
                <w:kern w:val="0"/>
                <w:szCs w:val="21"/>
              </w:rPr>
              <w:t>13983696917</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sz w:val="20"/>
              </w:rPr>
            </w:pPr>
            <w:r>
              <w:rPr>
                <w:rFonts w:hint="eastAsia"/>
                <w:b/>
                <w:sz w:val="20"/>
              </w:rPr>
              <w:t>2020年12月</w:t>
            </w:r>
            <w:r>
              <w:rPr>
                <w:rFonts w:hint="eastAsia"/>
                <w:b/>
                <w:sz w:val="20"/>
                <w:lang w:val="en-US" w:eastAsia="zh-CN"/>
              </w:rPr>
              <w:t>17</w:t>
            </w:r>
            <w:r>
              <w:rPr>
                <w:rFonts w:hint="eastAsia"/>
                <w:b/>
                <w:sz w:val="20"/>
              </w:rPr>
              <w:t>日</w:t>
            </w:r>
          </w:p>
        </w:tc>
        <w:tc>
          <w:tcPr>
            <w:tcW w:w="2126" w:type="dxa"/>
            <w:gridSpan w:val="3"/>
            <w:vAlign w:val="center"/>
          </w:tcPr>
          <w:p>
            <w:pPr>
              <w:rPr>
                <w:sz w:val="20"/>
              </w:rPr>
            </w:pPr>
            <w:r>
              <w:rPr>
                <w:rFonts w:hint="eastAsia"/>
                <w:sz w:val="20"/>
              </w:rPr>
              <w:t>日期</w:t>
            </w:r>
          </w:p>
        </w:tc>
        <w:tc>
          <w:tcPr>
            <w:tcW w:w="4017" w:type="dxa"/>
            <w:gridSpan w:val="7"/>
            <w:vAlign w:val="center"/>
          </w:tcPr>
          <w:p>
            <w:r>
              <w:rPr>
                <w:rFonts w:hint="eastAsia"/>
                <w:b/>
                <w:sz w:val="20"/>
              </w:rPr>
              <w:t>2020年12月</w:t>
            </w:r>
            <w:r>
              <w:rPr>
                <w:rFonts w:hint="eastAsia"/>
                <w:b/>
                <w:sz w:val="20"/>
                <w:lang w:val="en-US" w:eastAsia="zh-CN"/>
              </w:rPr>
              <w:t>17</w:t>
            </w:r>
            <w:r>
              <w:rPr>
                <w:rFonts w:hint="eastAsia"/>
                <w:b/>
                <w:sz w:val="20"/>
              </w:rPr>
              <w:t>日</w:t>
            </w:r>
          </w:p>
        </w:tc>
      </w:tr>
    </w:tbl>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6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12</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21</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320" w:lineRule="exact"/>
              <w:jc w:val="center"/>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8:00-8:30</w:t>
            </w:r>
          </w:p>
        </w:tc>
        <w:tc>
          <w:tcPr>
            <w:tcW w:w="6662" w:type="dxa"/>
            <w:gridSpan w:val="2"/>
            <w:vAlign w:val="center"/>
          </w:tcPr>
          <w:p>
            <w:pPr>
              <w:rPr>
                <w:rFonts w:ascii="宋体" w:hAnsi="宋体"/>
                <w:sz w:val="18"/>
              </w:rPr>
            </w:pPr>
            <w:r>
              <w:rPr>
                <w:rFonts w:hint="eastAsia" w:ascii="宋体" w:hAnsi="宋体"/>
                <w:sz w:val="18"/>
              </w:rPr>
              <w:t>首次会议</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18"/>
                <w:szCs w:val="18"/>
                <w:lang w:eastAsia="zh-CN"/>
              </w:rPr>
              <w:t>冉景洲</w:t>
            </w:r>
            <w:r>
              <w:rPr>
                <w:rFonts w:hint="eastAsia" w:ascii="宋体" w:hAnsi="宋体"/>
                <w:b/>
                <w:bCs/>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7"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tcPr>
          <w:p>
            <w:pPr>
              <w:snapToGrid w:val="0"/>
              <w:spacing w:line="320" w:lineRule="exact"/>
              <w:rPr>
                <w:rFonts w:ascii="宋体" w:hAnsi="宋体"/>
                <w:b/>
                <w:bCs/>
                <w:sz w:val="21"/>
                <w:szCs w:val="21"/>
              </w:rPr>
            </w:pPr>
            <w:r>
              <w:rPr>
                <w:rFonts w:hint="eastAsia" w:ascii="宋体" w:hAnsi="宋体"/>
                <w:b/>
                <w:bCs/>
                <w:sz w:val="21"/>
                <w:szCs w:val="21"/>
              </w:rPr>
              <w:t>8:30-1</w:t>
            </w:r>
            <w:r>
              <w:rPr>
                <w:rFonts w:hint="eastAsia" w:ascii="宋体" w:hAnsi="宋体"/>
                <w:b/>
                <w:bCs/>
                <w:sz w:val="21"/>
                <w:szCs w:val="21"/>
                <w:lang w:val="en-US" w:eastAsia="zh-CN"/>
              </w:rPr>
              <w:t>2</w:t>
            </w:r>
            <w:r>
              <w:rPr>
                <w:rFonts w:hint="eastAsia" w:ascii="宋体" w:hAnsi="宋体"/>
                <w:b/>
                <w:bCs/>
                <w:sz w:val="21"/>
                <w:szCs w:val="21"/>
              </w:rPr>
              <w:t>:00</w:t>
            </w:r>
          </w:p>
          <w:p>
            <w:pPr>
              <w:snapToGrid w:val="0"/>
              <w:spacing w:line="320" w:lineRule="exact"/>
              <w:rPr>
                <w:rFonts w:ascii="宋体" w:hAnsi="宋体"/>
                <w:b/>
                <w:bCs/>
                <w:sz w:val="21"/>
                <w:szCs w:val="21"/>
              </w:rPr>
            </w:pPr>
            <w:r>
              <w:rPr>
                <w:rFonts w:hint="eastAsia" w:ascii="宋体" w:hAnsi="宋体"/>
                <w:b/>
                <w:bCs/>
                <w:sz w:val="21"/>
                <w:szCs w:val="21"/>
              </w:rPr>
              <w:t>（午餐时间12:00-13:00）</w:t>
            </w:r>
          </w:p>
        </w:tc>
        <w:tc>
          <w:tcPr>
            <w:tcW w:w="992" w:type="dxa"/>
          </w:tcPr>
          <w:p>
            <w:pPr>
              <w:spacing w:line="300" w:lineRule="exact"/>
              <w:rPr>
                <w:rFonts w:ascii="宋体" w:hAnsi="宋体"/>
                <w:b/>
                <w:bCs/>
                <w:sz w:val="21"/>
                <w:szCs w:val="21"/>
              </w:rPr>
            </w:pPr>
            <w:r>
              <w:rPr>
                <w:rFonts w:hint="eastAsia" w:ascii="宋体" w:hAnsi="宋体"/>
                <w:b/>
                <w:bCs/>
                <w:sz w:val="21"/>
                <w:szCs w:val="21"/>
              </w:rPr>
              <w:t>管理层</w:t>
            </w:r>
          </w:p>
        </w:tc>
        <w:tc>
          <w:tcPr>
            <w:tcW w:w="5670" w:type="dxa"/>
          </w:tcPr>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rPr>
              <w:t xml:space="preserve">EMS-2015 </w:t>
            </w:r>
            <w:r>
              <w:rPr>
                <w:rFonts w:hint="eastAsia" w:ascii="宋体" w:hAnsi="宋体" w:cs="新宋体"/>
                <w:sz w:val="18"/>
                <w:szCs w:val="18"/>
                <w:lang w:val="en-US" w:eastAsia="zh-CN"/>
              </w:rPr>
              <w:t>冉景洲</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p>
            <w:pPr>
              <w:spacing w:line="300" w:lineRule="exact"/>
              <w:rPr>
                <w:rFonts w:ascii="宋体" w:hAnsi="宋体" w:cs="新宋体"/>
                <w:sz w:val="18"/>
                <w:szCs w:val="18"/>
              </w:rPr>
            </w:pP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val="en-US" w:eastAsia="zh-CN"/>
              </w:rPr>
              <w:t xml:space="preserve">  文平</w:t>
            </w:r>
          </w:p>
          <w:p>
            <w:pPr>
              <w:snapToGrid w:val="0"/>
              <w:spacing w:line="240" w:lineRule="exact"/>
              <w:rPr>
                <w:rFonts w:hint="eastAsia" w:ascii="宋体" w:hAnsi="宋体" w:cs="新宋体"/>
                <w:color w:val="000000" w:themeColor="text1"/>
                <w:sz w:val="18"/>
                <w:szCs w:val="18"/>
                <w14:textFill>
                  <w14:solidFill>
                    <w14:schemeClr w14:val="tx1"/>
                  </w14:solidFill>
                </w14:textFill>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9.1监视、测量、分析和评价；9.3管理评</w:t>
            </w:r>
            <w:r>
              <w:rPr>
                <w:rFonts w:hint="eastAsia" w:ascii="宋体" w:hAnsi="宋体" w:cs="新宋体"/>
                <w:color w:val="000000" w:themeColor="text1"/>
                <w:sz w:val="18"/>
                <w:szCs w:val="18"/>
                <w14:textFill>
                  <w14:solidFill>
                    <w14:schemeClr w14:val="tx1"/>
                  </w14:solidFill>
                </w14:textFill>
              </w:rPr>
              <w:t>审；10.1事件、不符合和纠正措施；10.2持续改进。</w:t>
            </w:r>
          </w:p>
          <w:p>
            <w:pPr>
              <w:pStyle w:val="2"/>
              <w:rPr>
                <w:rFonts w:hint="eastAsia" w:ascii="宋体" w:hAnsi="宋体" w:cs="新宋体"/>
                <w:sz w:val="18"/>
                <w:szCs w:val="18"/>
              </w:rPr>
            </w:pPr>
            <w:r>
              <w:rPr>
                <w:rFonts w:hint="eastAsia" w:ascii="宋体" w:hAnsi="宋体" w:cs="新宋体"/>
                <w:color w:val="000000" w:themeColor="text1"/>
                <w:sz w:val="18"/>
                <w:szCs w:val="18"/>
                <w14:textFill>
                  <w14:solidFill>
                    <w14:schemeClr w14:val="tx1"/>
                  </w14:solidFill>
                </w14:textFill>
              </w:rPr>
              <w:t>标准/规范/法规的执行情况、上次审核不符合项的验证</w:t>
            </w:r>
            <w:r>
              <w:rPr>
                <w:rFonts w:hint="eastAsia" w:ascii="宋体" w:hAnsi="宋体" w:cs="新宋体"/>
                <w:color w:val="000000" w:themeColor="text1"/>
                <w:sz w:val="18"/>
                <w:szCs w:val="18"/>
                <w:lang w:val="en-US" w:eastAsia="zh-CN"/>
                <w14:textFill>
                  <w14:solidFill>
                    <w14:schemeClr w14:val="tx1"/>
                  </w14:solidFill>
                </w14:textFill>
              </w:rPr>
              <w:t>(S8.1</w:t>
            </w:r>
            <w:r>
              <w:rPr>
                <w:rFonts w:hint="eastAsia" w:ascii="宋体" w:hAnsi="宋体" w:cs="新宋体"/>
                <w:color w:val="000000" w:themeColor="text1"/>
                <w:sz w:val="18"/>
                <w:szCs w:val="18"/>
                <w:lang w:eastAsia="zh-CN"/>
                <w14:textFill>
                  <w14:solidFill>
                    <w14:schemeClr w14:val="tx1"/>
                  </w14:solidFill>
                </w14:textFill>
              </w:rPr>
              <w:t>）</w:t>
            </w:r>
            <w:r>
              <w:rPr>
                <w:rFonts w:hint="eastAsia" w:ascii="宋体" w:hAnsi="宋体" w:cs="新宋体"/>
                <w:color w:val="000000" w:themeColor="text1"/>
                <w:sz w:val="18"/>
                <w:szCs w:val="18"/>
                <w14:textFill>
                  <w14:solidFill>
                    <w14:schemeClr w14:val="tx1"/>
                  </w14:solidFill>
                </w14:textFill>
              </w:rPr>
              <w:t>、认证证书、标志的使用情况、投诉或事故、监督抽查情况、体系变动</w:t>
            </w:r>
          </w:p>
        </w:tc>
        <w:tc>
          <w:tcPr>
            <w:tcW w:w="1065"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eastAsia="zh-CN"/>
              </w:rPr>
              <w:t>冉景洲、</w:t>
            </w:r>
            <w:r>
              <w:rPr>
                <w:rFonts w:hint="eastAsia" w:ascii="宋体" w:hAnsi="宋体"/>
                <w:b/>
                <w:bCs/>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5"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cs="新宋体"/>
                <w:sz w:val="21"/>
                <w:szCs w:val="21"/>
              </w:rPr>
              <w:t>综合部（含财务）</w:t>
            </w:r>
          </w:p>
        </w:tc>
        <w:tc>
          <w:tcPr>
            <w:tcW w:w="5670" w:type="dxa"/>
          </w:tcPr>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 xml:space="preserve">  </w:t>
            </w:r>
            <w:r>
              <w:rPr>
                <w:rFonts w:hint="eastAsia" w:ascii="宋体" w:hAnsi="宋体" w:cs="新宋体"/>
                <w:sz w:val="18"/>
                <w:szCs w:val="18"/>
              </w:rPr>
              <w:t>文平</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环境因素；6.1.3合规义务；6.2目标及其达成的策划；8.1运行策划和控制；8.2应急准备和响应；9.1监视、测量、分析与评估；9.1.2符合性评估；9.2内部审核；10.2不符合和纠正措施；10.3持续改进/EMS运行控制相关财务支出证据。</w:t>
            </w:r>
          </w:p>
          <w:p>
            <w:pPr>
              <w:snapToGrid w:val="0"/>
              <w:spacing w:line="240" w:lineRule="exact"/>
              <w:rPr>
                <w:rFonts w:hint="eastAsia" w:ascii="宋体" w:hAnsi="宋体" w:cs="新宋体"/>
                <w:sz w:val="18"/>
                <w:szCs w:val="18"/>
              </w:rPr>
            </w:pP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val="en-US" w:eastAsia="zh-CN"/>
              </w:rPr>
              <w:t xml:space="preserve">   </w:t>
            </w:r>
            <w:r>
              <w:rPr>
                <w:rFonts w:hint="eastAsia" w:ascii="宋体" w:hAnsi="宋体" w:cs="新宋体"/>
                <w:sz w:val="18"/>
                <w:szCs w:val="18"/>
              </w:rPr>
              <w:t>文平</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snapToGrid w:val="0"/>
              <w:spacing w:line="240" w:lineRule="exact"/>
              <w:rPr>
                <w:rFonts w:ascii="宋体" w:hAnsi="宋体" w:cs="新宋体"/>
                <w:sz w:val="18"/>
                <w:szCs w:val="18"/>
              </w:rPr>
            </w:pPr>
            <w:r>
              <w:rPr>
                <w:rFonts w:hint="eastAsia" w:ascii="宋体" w:hAnsi="宋体" w:cs="新宋体"/>
                <w:sz w:val="18"/>
                <w:szCs w:val="18"/>
              </w:rPr>
              <w:t>6.1.3法律法规要求和其他要求；6.2目标及其实现的策划；8.1运行策划和控制；8.2应急准备和响应；9.1监视、测量、分析和评价；9.1.2法律法规要求和其他要求的合规性评价；9.2内部审核；10.1事件、不符合和纠正措施；10.2持续改进/OHSMS运行控制财务支出证据。</w:t>
            </w:r>
          </w:p>
        </w:tc>
        <w:tc>
          <w:tcPr>
            <w:tcW w:w="1065"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011" w:type="dxa"/>
            <w:vMerge w:val="continue"/>
            <w:tcBorders>
              <w:left w:val="single" w:color="auto" w:sz="8" w:space="0"/>
            </w:tcBorders>
            <w:vAlign w:val="center"/>
          </w:tcPr>
          <w:p>
            <w:pPr>
              <w:snapToGrid w:val="0"/>
              <w:spacing w:line="320" w:lineRule="exact"/>
              <w:jc w:val="center"/>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0-16:</w:t>
            </w:r>
            <w:r>
              <w:rPr>
                <w:rFonts w:hint="eastAsia" w:ascii="宋体" w:hAnsi="宋体"/>
                <w:b/>
                <w:bCs/>
                <w:sz w:val="21"/>
                <w:szCs w:val="21"/>
                <w:lang w:val="en-US" w:eastAsia="zh-CN"/>
              </w:rPr>
              <w:t>3</w:t>
            </w:r>
            <w:r>
              <w:rPr>
                <w:rFonts w:hint="eastAsia" w:ascii="宋体" w:hAnsi="宋体"/>
                <w:b/>
                <w:bCs/>
                <w:sz w:val="21"/>
                <w:szCs w:val="21"/>
              </w:rPr>
              <w:t>0</w:t>
            </w:r>
          </w:p>
          <w:p>
            <w:pPr>
              <w:snapToGrid w:val="0"/>
              <w:spacing w:line="320" w:lineRule="exact"/>
              <w:rPr>
                <w:rFonts w:ascii="宋体" w:hAnsi="宋体"/>
                <w:b/>
                <w:bCs/>
                <w:sz w:val="21"/>
                <w:szCs w:val="21"/>
              </w:rPr>
            </w:pPr>
          </w:p>
        </w:tc>
        <w:tc>
          <w:tcPr>
            <w:tcW w:w="992" w:type="dxa"/>
          </w:tcPr>
          <w:p>
            <w:pPr>
              <w:spacing w:line="300" w:lineRule="exact"/>
              <w:rPr>
                <w:rFonts w:ascii="宋体" w:hAnsi="宋体" w:cs="新宋体"/>
                <w:sz w:val="21"/>
                <w:szCs w:val="21"/>
              </w:rPr>
            </w:pPr>
            <w:r>
              <w:rPr>
                <w:rFonts w:hint="eastAsia" w:ascii="宋体" w:hAnsi="宋体" w:cs="新宋体"/>
                <w:sz w:val="21"/>
                <w:szCs w:val="21"/>
              </w:rPr>
              <w:t>技术部</w:t>
            </w:r>
          </w:p>
          <w:p>
            <w:pPr>
              <w:spacing w:line="300" w:lineRule="exact"/>
              <w:rPr>
                <w:rFonts w:ascii="宋体" w:hAnsi="宋体" w:cs="新宋体"/>
                <w:sz w:val="21"/>
                <w:szCs w:val="21"/>
              </w:rPr>
            </w:pPr>
            <w:r>
              <w:rPr>
                <w:rFonts w:hint="eastAsia" w:ascii="宋体" w:hAnsi="宋体" w:cs="新宋体"/>
                <w:sz w:val="21"/>
                <w:szCs w:val="21"/>
              </w:rPr>
              <w:t>（含临时场所）</w:t>
            </w:r>
          </w:p>
        </w:tc>
        <w:tc>
          <w:tcPr>
            <w:tcW w:w="5670" w:type="dxa"/>
          </w:tcPr>
          <w:p>
            <w:pPr>
              <w:rPr>
                <w:rFonts w:hint="eastAsia" w:ascii="宋体" w:hAnsi="宋体" w:eastAsia="宋体" w:cs="新宋体"/>
                <w:sz w:val="18"/>
                <w:szCs w:val="18"/>
                <w:lang w:eastAsia="zh-CN"/>
              </w:rPr>
            </w:pPr>
            <w:r>
              <w:rPr>
                <w:rFonts w:hint="eastAsia" w:ascii="宋体" w:hAnsi="宋体" w:cs="新宋体"/>
                <w:sz w:val="18"/>
                <w:szCs w:val="18"/>
              </w:rPr>
              <w:t>EMS-2015</w:t>
            </w:r>
            <w:r>
              <w:rPr>
                <w:rFonts w:hint="eastAsia" w:ascii="宋体" w:hAnsi="宋体" w:cs="新宋体"/>
                <w:sz w:val="18"/>
                <w:szCs w:val="18"/>
                <w:lang w:eastAsia="zh-CN"/>
              </w:rPr>
              <w:t>冉景洲</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5.3组织的角色、职责和权限、6.2目标及其达成的策划；7.4沟通；</w:t>
            </w:r>
          </w:p>
          <w:p>
            <w:pPr>
              <w:snapToGrid w:val="0"/>
              <w:spacing w:line="240" w:lineRule="exact"/>
              <w:rPr>
                <w:rFonts w:ascii="宋体" w:hAnsi="宋体" w:cs="新宋体"/>
                <w:sz w:val="18"/>
                <w:szCs w:val="18"/>
              </w:rPr>
            </w:pPr>
          </w:p>
          <w:p>
            <w:pPr>
              <w:rPr>
                <w:rFonts w:ascii="宋体" w:hAnsi="宋体" w:cs="新宋体"/>
                <w:sz w:val="18"/>
                <w:szCs w:val="18"/>
              </w:rPr>
            </w:pPr>
            <w:r>
              <w:rPr>
                <w:rFonts w:hint="eastAsia" w:ascii="宋体" w:hAnsi="宋体" w:cs="新宋体"/>
                <w:sz w:val="18"/>
                <w:szCs w:val="18"/>
              </w:rPr>
              <w:t>EMS-2015文平</w:t>
            </w:r>
          </w:p>
          <w:p>
            <w:pPr>
              <w:snapToGrid w:val="0"/>
              <w:spacing w:line="240" w:lineRule="exact"/>
              <w:rPr>
                <w:rFonts w:ascii="宋体" w:hAnsi="宋体" w:cs="新宋体"/>
                <w:sz w:val="18"/>
                <w:szCs w:val="18"/>
              </w:rPr>
            </w:pPr>
            <w:r>
              <w:rPr>
                <w:rFonts w:hint="eastAsia" w:ascii="宋体" w:hAnsi="宋体" w:cs="新宋体"/>
                <w:sz w:val="18"/>
                <w:szCs w:val="18"/>
              </w:rPr>
              <w:t>6.1.2环境因素；8.1运行策划和控制；8.2应急准备和响应</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w:t>
            </w:r>
          </w:p>
          <w:p>
            <w:pPr>
              <w:widowControl/>
              <w:jc w:val="left"/>
              <w:rPr>
                <w:rFonts w:ascii="宋体" w:hAnsi="宋体" w:cs="新宋体"/>
                <w:sz w:val="18"/>
                <w:szCs w:val="18"/>
              </w:rPr>
            </w:pPr>
            <w:r>
              <w:rPr>
                <w:rFonts w:hint="eastAsia" w:ascii="宋体" w:hAnsi="宋体" w:cs="新宋体"/>
                <w:sz w:val="18"/>
                <w:szCs w:val="18"/>
              </w:rPr>
              <w:t>5.3组织的角色、职责和权限；6.2目标及其实现的策划；7.4信息和沟通；6.1.2危险源辨识和职业安全风险评价；8.1运行策划和控制</w:t>
            </w:r>
            <w:r>
              <w:rPr>
                <w:rFonts w:hint="eastAsia" w:ascii="宋体" w:hAnsi="宋体" w:cs="新宋体"/>
                <w:sz w:val="18"/>
                <w:szCs w:val="18"/>
                <w:lang w:eastAsia="zh-CN"/>
              </w:rPr>
              <w:t>（</w:t>
            </w:r>
            <w:r>
              <w:rPr>
                <w:rFonts w:hint="eastAsia" w:ascii="宋体" w:hAnsi="宋体" w:cs="新宋体"/>
                <w:color w:val="000000" w:themeColor="text1"/>
                <w:sz w:val="18"/>
                <w:szCs w:val="18"/>
              </w:rPr>
              <w:t>上次审核不符合项的验证</w:t>
            </w:r>
            <w:r>
              <w:rPr>
                <w:rFonts w:hint="eastAsia" w:ascii="宋体" w:hAnsi="宋体" w:cs="新宋体"/>
                <w:color w:val="000000" w:themeColor="text1"/>
                <w:sz w:val="18"/>
                <w:szCs w:val="18"/>
                <w:lang w:eastAsia="zh-CN"/>
              </w:rPr>
              <w:t>）</w:t>
            </w:r>
            <w:bookmarkStart w:id="18" w:name="_GoBack"/>
            <w:bookmarkEnd w:id="18"/>
            <w:r>
              <w:rPr>
                <w:rFonts w:hint="eastAsia" w:ascii="宋体" w:hAnsi="宋体" w:cs="新宋体"/>
                <w:sz w:val="18"/>
                <w:szCs w:val="18"/>
              </w:rPr>
              <w:t>；8.2应急准备和响应；</w:t>
            </w:r>
          </w:p>
        </w:tc>
        <w:tc>
          <w:tcPr>
            <w:tcW w:w="1065"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18"/>
                <w:szCs w:val="18"/>
                <w:lang w:eastAsia="zh-CN"/>
              </w:rPr>
              <w:t>冉景洲</w:t>
            </w:r>
            <w:r>
              <w:rPr>
                <w:rFonts w:hint="eastAsia" w:ascii="宋体" w:hAnsi="宋体"/>
                <w:b/>
                <w:bCs/>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662" w:type="dxa"/>
            <w:gridSpan w:val="2"/>
            <w:vAlign w:val="center"/>
          </w:tcPr>
          <w:p>
            <w:pPr>
              <w:snapToGrid w:val="0"/>
              <w:spacing w:line="240" w:lineRule="exact"/>
              <w:rPr>
                <w:rFonts w:hint="eastAsia" w:ascii="宋体" w:hAnsi="宋体" w:eastAsia="宋体" w:cs="新宋体"/>
                <w:sz w:val="18"/>
                <w:szCs w:val="18"/>
                <w:lang w:eastAsia="zh-CN"/>
              </w:rPr>
            </w:pPr>
            <w:r>
              <w:rPr>
                <w:rFonts w:hint="eastAsia" w:ascii="宋体" w:hAnsi="宋体" w:cs="新宋体"/>
                <w:sz w:val="21"/>
                <w:szCs w:val="21"/>
              </w:rPr>
              <w:t>审核组内部沟通,并与受审核方沟通</w:t>
            </w:r>
            <w:r>
              <w:rPr>
                <w:rFonts w:hint="eastAsia" w:ascii="宋体" w:hAnsi="宋体" w:cs="新宋体"/>
                <w:sz w:val="21"/>
                <w:szCs w:val="21"/>
                <w:lang w:eastAsia="zh-CN"/>
              </w:rPr>
              <w:t>、</w:t>
            </w:r>
            <w:r>
              <w:rPr>
                <w:rFonts w:hint="eastAsia" w:ascii="宋体" w:hAnsi="宋体" w:cs="新宋体"/>
                <w:sz w:val="21"/>
                <w:szCs w:val="21"/>
              </w:rPr>
              <w:t>末次会议</w:t>
            </w:r>
          </w:p>
        </w:tc>
        <w:tc>
          <w:tcPr>
            <w:tcW w:w="1065"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18"/>
                <w:szCs w:val="18"/>
                <w:lang w:eastAsia="zh-CN"/>
              </w:rPr>
              <w:t>冉景洲</w:t>
            </w:r>
            <w:r>
              <w:rPr>
                <w:rFonts w:hint="eastAsia" w:ascii="宋体" w:hAnsi="宋体"/>
                <w:b/>
                <w:bCs/>
                <w:sz w:val="18"/>
                <w:szCs w:val="18"/>
              </w:rPr>
              <w:t>、文平</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FF05F4"/>
    <w:rsid w:val="2DD47EFE"/>
    <w:rsid w:val="57C41974"/>
    <w:rsid w:val="5A1E3EA4"/>
    <w:rsid w:val="62BD18E7"/>
    <w:rsid w:val="69C52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0</TotalTime>
  <ScaleCrop>false</ScaleCrop>
  <LinksUpToDate>false</LinksUpToDate>
  <CharactersWithSpaces>1223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小冉</cp:lastModifiedBy>
  <dcterms:modified xsi:type="dcterms:W3CDTF">2020-12-18T13:19:06Z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