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color w:val="000000"/>
        </w:rPr>
      </w:pPr>
      <w:r>
        <w:rPr>
          <w:rFonts w:hint="eastAsia" w:ascii="楷体" w:hAnsi="楷体" w:eastAsia="楷体"/>
          <w:color w:val="000000"/>
          <w:sz w:val="28"/>
          <w:szCs w:val="28"/>
        </w:rPr>
        <w:t>合同编号：</w:t>
      </w:r>
      <w:bookmarkStart w:id="0" w:name="合同编号"/>
      <w:r>
        <w:rPr>
          <w:color w:val="000000"/>
        </w:rPr>
        <w:t>0698-2020-Q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海南陆康实业有限公司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夏爱俭</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海南陆康实业有限公司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海南省海口市龙华区城西横路7号锦达公寓1504房</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海南省海口市龙华区城西横路7号锦达公寓1504房</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王锡平</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0898-66819420</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翁克彬</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王锡平</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2" w:name="联系人邮箱Add1"/>
            <w:bookmarkEnd w:id="12"/>
            <w:r>
              <w:rPr>
                <w:rFonts w:ascii="宋体"/>
                <w:b/>
                <w:color w:val="000000"/>
                <w:sz w:val="20"/>
                <w:szCs w:val="20"/>
              </w:rPr>
              <w:t>2426765263@qq.com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3" w:name="审核范围"/>
            <w:r>
              <w:rPr>
                <w:rFonts w:ascii="宋体" w:hAnsi="宋体"/>
                <w:b/>
                <w:color w:val="000000"/>
                <w:sz w:val="20"/>
                <w:szCs w:val="20"/>
              </w:rPr>
              <w:t>实验室耗材、实验仪器设备、化学试剂和化学原料的销售（涉及法律法规行政许可要求的产品除外）</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4" w:name="专业代码"/>
            <w:r>
              <w:rPr>
                <w:rFonts w:ascii="宋体"/>
                <w:b/>
                <w:color w:val="000000"/>
                <w:sz w:val="20"/>
                <w:szCs w:val="20"/>
              </w:rPr>
              <w:t>29.12.00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ascii="宋体"/>
          <w:b/>
          <w:color w:val="000000"/>
          <w:sz w:val="20"/>
          <w:szCs w:val="20"/>
        </w:rPr>
      </w:pPr>
      <w:r>
        <w:rPr>
          <w:rFonts w:hint="eastAsia" w:ascii="宋体" w:hAnsi="宋体"/>
          <w:b/>
          <w:color w:val="000000"/>
          <w:sz w:val="20"/>
          <w:szCs w:val="20"/>
        </w:rPr>
        <w:t>部门：</w:t>
      </w:r>
      <w:r>
        <w:rPr>
          <w:rFonts w:hint="eastAsia"/>
          <w:lang w:val="en-US" w:eastAsia="zh-CN"/>
        </w:rPr>
        <w:t>售后部、销售部  行政部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销售场所、办公场所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实验室耗材、实验仪器设备、化学试剂和化学原料的销售（涉及法律法规行政许可要求的产品除外）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lang w:val="en-US" w:eastAsia="zh-CN"/>
              </w:rPr>
              <w:t>售后部、销售部  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5" w:name="生产地址"/>
            <w:r>
              <w:t>海南省海口市龙华区城西横路7号锦达公寓1504房</w:t>
            </w:r>
            <w:bookmarkEnd w:id="15"/>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p>
          <w:p>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GB/T6684-2002  化学试剂 30%过氧化氢 </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GB/T678  化学试剂 乙醇（无水乙醇）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HG/T2892-2010    化学试剂 异丙醇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 676-2007 化学试剂 乙酸(冰醋酸)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Q/STXH404-2018  对甲苯磺酸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GB/T16983-1997  化学试剂 二氯甲烷</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629-1997 化学试剂 氢氧化钠</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626-2006  化学试剂硝酸</w:t>
            </w:r>
          </w:p>
          <w:p>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1401-1998 化学试剂 乙二胺四乙酸二钠</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 w:val="21"/>
                <w:szCs w:val="21"/>
                <w:lang w:eastAsia="zh-CN"/>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关键过程：销售过程</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需确认/特殊过程：销售过程</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sz w:val="21"/>
                <w:szCs w:val="21"/>
                <w:lang w:val="en-US" w:eastAsia="zh-CN"/>
              </w:rPr>
              <w:t>销售过程控制规定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lang w:val="en-US" w:eastAsia="zh-CN"/>
              </w:rPr>
              <w:t>销售过程</w:t>
            </w:r>
            <w:r>
              <w:rPr>
                <w:rFonts w:hint="eastAsia"/>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lang w:val="en-US" w:eastAsia="zh-CN"/>
              </w:rPr>
              <w:t>电脑、电话、打印机、扫描仪等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rPr>
            </w:pPr>
            <w:r>
              <w:rPr>
                <w:rFonts w:hint="eastAsia"/>
              </w:rPr>
              <w:t>监视和测量设备（请简述主要监视和测量设备）：</w:t>
            </w:r>
          </w:p>
          <w:p>
            <w:pPr>
              <w:rPr>
                <w:rFonts w:hint="eastAsia"/>
                <w:lang w:val="en-US" w:eastAsia="zh-CN"/>
              </w:rPr>
            </w:pPr>
            <w:r>
              <w:rPr>
                <w:rFonts w:hint="eastAsia"/>
                <w:lang w:eastAsia="zh-CN"/>
              </w:rPr>
              <w:t>公司的监视和测量设施设备主要是：</w:t>
            </w:r>
            <w:r>
              <w:rPr>
                <w:rFonts w:hint="eastAsia"/>
                <w:lang w:val="en-US" w:eastAsia="zh-CN"/>
              </w:rPr>
              <w:t>无</w:t>
            </w:r>
          </w:p>
          <w:p>
            <w:pPr>
              <w:pStyle w:val="2"/>
              <w:rPr>
                <w:rFonts w:hint="default"/>
                <w:lang w:val="en-US" w:eastAsia="zh-CN"/>
              </w:rPr>
            </w:pPr>
            <w:r>
              <w:rPr>
                <w:rFonts w:hint="eastAsia"/>
                <w:sz w:val="21"/>
                <w:szCs w:val="21"/>
                <w:lang w:val="en-US" w:eastAsia="zh-CN"/>
              </w:rPr>
              <w:t>公司通过内审、管评、销售业绩、工作检查、统计分析等进行监视和测量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销售</w:t>
            </w:r>
            <w:r>
              <w:rPr>
                <w:rFonts w:hint="eastAsia"/>
              </w:rPr>
              <w:t>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w:t>
            </w:r>
            <w:r>
              <w:rPr>
                <w:rFonts w:hint="default"/>
                <w:lang w:val="en-US" w:eastAsia="zh-CN"/>
              </w:rPr>
              <w:t>2020年11月10日至11月11  审核组长： 王锡平  组员： 黎邢羽</w:t>
            </w:r>
            <w:r>
              <w:rPr>
                <w:rFonts w:hint="default" w:ascii="宋体" w:hAnsi="宋体"/>
                <w:color w:val="000000"/>
                <w:spacing w:val="-10"/>
                <w:sz w:val="20"/>
                <w:szCs w:val="20"/>
                <w:lang w:val="en-US" w:eastAsia="zh-CN"/>
              </w:rPr>
              <w:t xml:space="preserve">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2"/>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themeColor="text1"/>
                <w:sz w:val="20"/>
                <w:szCs w:val="20"/>
                <w14:textFill>
                  <w14:solidFill>
                    <w14:schemeClr w14:val="tx1"/>
                  </w14:solidFill>
                </w14:textFill>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了解管理评审的策划</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25日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了解管理评审输入是否充分</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了解管理评审结论</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3044190</wp:posOffset>
            </wp:positionH>
            <wp:positionV relativeFrom="paragraph">
              <wp:posOffset>206375</wp:posOffset>
            </wp:positionV>
            <wp:extent cx="847725" cy="528955"/>
            <wp:effectExtent l="0" t="0" r="317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1" locked="0" layoutInCell="1" allowOverlap="1">
            <wp:simplePos x="0" y="0"/>
            <wp:positionH relativeFrom="column">
              <wp:posOffset>1872615</wp:posOffset>
            </wp:positionH>
            <wp:positionV relativeFrom="paragraph">
              <wp:posOffset>-152400</wp:posOffset>
            </wp:positionV>
            <wp:extent cx="1035685" cy="355600"/>
            <wp:effectExtent l="0" t="0" r="5715" b="0"/>
            <wp:wrapTight wrapText="bothSides">
              <wp:wrapPolygon>
                <wp:start x="0" y="0"/>
                <wp:lineTo x="0" y="20829"/>
                <wp:lineTo x="21454" y="20829"/>
                <wp:lineTo x="21454"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035685" cy="355600"/>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海南陆康实业有限公司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6"/>
              <w:pBdr>
                <w:bottom w:val="none" w:color="auto" w:sz="0" w:space="0"/>
              </w:pBdr>
              <w:ind w:right="600"/>
              <w:jc w:val="both"/>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 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r>
              <w:rPr>
                <w:rFonts w:hint="eastAsia"/>
                <w:color w:val="FF0000"/>
              </w:rPr>
              <w:t>受审核方确认：</w:t>
            </w:r>
            <w:r>
              <w:rPr>
                <w:rFonts w:hint="eastAsia"/>
              </w:rPr>
              <w:t xml:space="preserve">         </w:t>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12</w:t>
            </w:r>
            <w:r>
              <w:rPr>
                <w:rFonts w:hint="eastAsia"/>
              </w:rPr>
              <w:t xml:space="preserve">  月 </w:t>
            </w:r>
            <w:r>
              <w:rPr>
                <w:rFonts w:hint="eastAsia"/>
                <w:lang w:val="en-US" w:eastAsia="zh-CN"/>
              </w:rPr>
              <w:t>21</w:t>
            </w:r>
            <w:bookmarkStart w:id="16" w:name="_GoBack"/>
            <w:bookmarkEnd w:id="16"/>
            <w:r>
              <w:rPr>
                <w:rFonts w:hint="eastAsia"/>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推荐意见：□可进行二阶段审核□需再次安排一阶段审核□不进入二阶段审核</w:t>
            </w:r>
          </w:p>
          <w:p>
            <w:pPr>
              <w:tabs>
                <w:tab w:val="left" w:pos="8740"/>
              </w:tabs>
              <w:spacing w:line="360" w:lineRule="exact"/>
              <w:rPr>
                <w:rFonts w:hint="eastAsia"/>
                <w:b/>
                <w:color w:val="000000"/>
                <w:spacing w:val="-10"/>
                <w:szCs w:val="21"/>
                <w:lang w:val="en-US" w:eastAsia="zh-CN"/>
              </w:rPr>
            </w:pPr>
          </w:p>
          <w:p>
            <w:pPr>
              <w:pStyle w:val="2"/>
              <w:rPr>
                <w:rFonts w:hint="default"/>
                <w:lang w:val="en-US" w:eastAsia="zh-CN"/>
              </w:rPr>
            </w:pPr>
          </w:p>
          <w:p>
            <w:pPr>
              <w:tabs>
                <w:tab w:val="left" w:pos="8740"/>
              </w:tabs>
              <w:spacing w:line="360" w:lineRule="exact"/>
              <w:rPr>
                <w:b/>
                <w:color w:val="000000"/>
                <w:sz w:val="22"/>
                <w:szCs w:val="22"/>
              </w:rPr>
            </w:pP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pStyle w:val="2"/>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fjzNYAAAAJAQAADwAAAAAAAAABACAAAAAiAAAAZHJzL2Rvd25yZXYu&#10;eG1sUEsBAhQAFAAAAAgAh07iQFltCZ7EAQAAdw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7"/>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7"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Bpp/gX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B185D"/>
    <w:rsid w:val="23D100CA"/>
    <w:rsid w:val="34512491"/>
    <w:rsid w:val="36123B86"/>
    <w:rsid w:val="3D213822"/>
    <w:rsid w:val="44585D5D"/>
    <w:rsid w:val="5AF02C61"/>
    <w:rsid w:val="5D70004B"/>
    <w:rsid w:val="5FF10DBF"/>
    <w:rsid w:val="74767B99"/>
    <w:rsid w:val="7B514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2020-12-30T13:15:36Z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