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襄阳永盛飞扬建筑工程有限公司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Q：35.10.00</w:t>
            </w:r>
          </w:p>
          <w:p>
            <w:pPr>
              <w:snapToGrid w:val="0"/>
              <w:spacing w:line="280" w:lineRule="exact"/>
              <w:ind w:left="52"/>
              <w:jc w:val="center"/>
              <w:rPr>
                <w:b/>
                <w:sz w:val="20"/>
              </w:rPr>
            </w:pPr>
            <w:r>
              <w:rPr>
                <w:b/>
                <w:sz w:val="20"/>
              </w:rPr>
              <w:t>E：35.10.00</w:t>
            </w:r>
          </w:p>
          <w:p>
            <w:pPr>
              <w:snapToGrid w:val="0"/>
              <w:spacing w:line="280" w:lineRule="exact"/>
              <w:ind w:left="52"/>
              <w:jc w:val="center"/>
              <w:rPr>
                <w:b/>
                <w:sz w:val="20"/>
              </w:rPr>
            </w:pPr>
            <w:r>
              <w:rPr>
                <w:b/>
                <w:sz w:val="20"/>
              </w:rPr>
              <w:t>O：35.10.00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Q：35.10.00</w:t>
            </w:r>
          </w:p>
          <w:p>
            <w:pPr>
              <w:snapToGrid w:val="0"/>
              <w:spacing w:line="280" w:lineRule="exact"/>
              <w:ind w:left="52"/>
              <w:jc w:val="center"/>
              <w:rPr>
                <w:b/>
                <w:sz w:val="20"/>
              </w:rPr>
            </w:pPr>
            <w:r>
              <w:rPr>
                <w:b/>
                <w:sz w:val="20"/>
              </w:rPr>
              <w:t>E：35.10.00</w:t>
            </w:r>
          </w:p>
          <w:p>
            <w:pPr>
              <w:snapToGrid w:val="0"/>
              <w:spacing w:line="280" w:lineRule="exact"/>
              <w:jc w:val="center"/>
              <w:rPr>
                <w:b/>
                <w:sz w:val="20"/>
              </w:rPr>
            </w:pPr>
            <w:r>
              <w:rPr>
                <w:b/>
                <w:sz w:val="20"/>
              </w:rPr>
              <w:t>O：35.10.00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吴思彦</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劳务</w:t>
            </w:r>
            <w:r>
              <w:rPr>
                <w:rFonts w:hint="eastAsia" w:ascii="Times New Roman" w:hAnsi="Times New Roman" w:eastAsia="宋体" w:cs="Times New Roman"/>
                <w:sz w:val="21"/>
                <w:szCs w:val="24"/>
                <w:lang w:val="en-US" w:eastAsia="zh-CN"/>
              </w:rPr>
              <w:t>派遣</w:t>
            </w:r>
            <w:r>
              <w:rPr>
                <w:rFonts w:hint="eastAsia" w:ascii="Times New Roman" w:hAnsi="Times New Roman" w:eastAsia="宋体" w:cs="Times New Roman"/>
                <w:sz w:val="21"/>
                <w:szCs w:val="24"/>
              </w:rPr>
              <w:t>服务流程：</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服务需求-洽谈-签订劳务派遣协议-人员派遣-人员劳务  -服务跟踪</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其中关键过程有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 xml:space="preserve">过程     </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需要确认过程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left"/>
              <w:rPr>
                <w:b/>
                <w:sz w:val="20"/>
              </w:rPr>
            </w:pPr>
            <w:r>
              <w:rPr>
                <w:rFonts w:hint="eastAsia" w:ascii="Times New Roman" w:hAnsi="Times New Roman" w:eastAsia="宋体" w:cs="Times New Roman"/>
                <w:sz w:val="21"/>
                <w:szCs w:val="24"/>
              </w:rPr>
              <w:t>设备工具的认可、人员资格的鉴定、记录要求等</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人员的培训，</w:t>
            </w:r>
            <w:r>
              <w:rPr>
                <w:rFonts w:hint="eastAsia" w:ascii="Times New Roman" w:hAnsi="Times New Roman" w:eastAsia="宋体" w:cs="Times New Roman"/>
                <w:sz w:val="21"/>
                <w:szCs w:val="24"/>
              </w:rPr>
              <w:t>从业人员经过培训，胜任本职工作，可以提供满足顾客要求、法律法规要求的服务。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编制了《环境因素的识别与评价控制程序》符合标准要求.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提供的“环境因素识别评价表”“重要环境因素清单”， 评价考虑了三种时态现在、过去、将来、三种状态、异常、正常、紧急考虑了法律法规，并进行了评价，针</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过程，用打分法考虑了法规符合性、发生频次、影响范围等, 通过定性判断法，共识别出重大环境因素3项：固废排放、废气、噪声评价符合程序要求及公司的实际情况。</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GB/T 23859-2009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劳动定额测时方法</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32624-2016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人力资源培训服务规范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32625-2016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人力资源管理咨询服务规范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33529-2017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人力资源服务术语</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33530-2017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人力资源外包服务规范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33860-2017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人力资源服务机构能力指数</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b/>
          <w:spacing w:val="-6"/>
          <w:sz w:val="18"/>
          <w:szCs w:val="18"/>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2020.12.27</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2020.12.27</w:t>
      </w:r>
      <w:bookmarkStart w:id="6" w:name="_GoBack"/>
      <w:bookmarkEnd w:id="6"/>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91447"/>
    <w:rsid w:val="76346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2020-12-26T14:47:56Z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