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0705-2020-QEO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海南万象能源科技有限公司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职务</w:t>
            </w:r>
          </w:p>
        </w:tc>
        <w:tc>
          <w:tcPr>
            <w:tcW w:w="1417" w:type="dxa"/>
            <w:gridSpan w:val="2"/>
            <w:vAlign w:val="center"/>
          </w:tcPr>
          <w:p>
            <w:pPr>
              <w:jc w:val="center"/>
              <w:rPr>
                <w:b/>
                <w:color w:val="000000"/>
                <w:sz w:val="20"/>
                <w:szCs w:val="20"/>
              </w:rPr>
            </w:pPr>
            <w:r>
              <w:rPr>
                <w:rFonts w:hint="eastAsia"/>
                <w:b/>
                <w:color w:val="000000"/>
                <w:sz w:val="20"/>
                <w:szCs w:val="20"/>
              </w:rPr>
              <w:t>性别</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r>
              <w:rPr>
                <w:b/>
                <w:color w:val="000000"/>
                <w:sz w:val="20"/>
                <w:szCs w:val="20"/>
              </w:rPr>
              <w:t>Q:19.09.02</w:t>
            </w:r>
          </w:p>
          <w:p>
            <w:pPr>
              <w:spacing w:line="240" w:lineRule="exact"/>
              <w:jc w:val="center"/>
              <w:rPr>
                <w:b/>
                <w:color w:val="000000"/>
                <w:sz w:val="20"/>
                <w:szCs w:val="20"/>
              </w:rPr>
            </w:pPr>
            <w:r>
              <w:rPr>
                <w:b/>
                <w:color w:val="000000"/>
                <w:sz w:val="20"/>
                <w:szCs w:val="20"/>
              </w:rPr>
              <w:t>E:19.09.02</w:t>
            </w:r>
          </w:p>
          <w:p>
            <w:pPr>
              <w:spacing w:line="240" w:lineRule="exact"/>
              <w:jc w:val="center"/>
              <w:rPr>
                <w:b/>
                <w:color w:val="000000"/>
                <w:sz w:val="20"/>
                <w:szCs w:val="20"/>
              </w:rPr>
            </w:pPr>
            <w:r>
              <w:rPr>
                <w:b/>
                <w:color w:val="000000"/>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张玉</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海南万象能源科技有限公司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海南省老城高新技术产业示范区海南生态软件园A17幢一层4001</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571924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海口市秀英区南海大道药谷四路18号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李娜</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0898-65661818</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王禄柳</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李娜</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2" w:name="联系人邮箱Add1"/>
            <w:r>
              <w:rPr>
                <w:rFonts w:ascii="宋体"/>
                <w:b/>
                <w:color w:val="000000"/>
                <w:sz w:val="20"/>
                <w:szCs w:val="20"/>
              </w:rPr>
              <w:t>2426765263@qq.com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w:t>
            </w:r>
            <w:r>
              <w:rPr>
                <w:rFonts w:hint="eastAsia"/>
                <w:lang w:val="en-US" w:eastAsia="zh-CN"/>
              </w:rPr>
              <w:t>20</w:t>
            </w:r>
            <w:r>
              <w:t>年</w:t>
            </w:r>
            <w:r>
              <w:rPr>
                <w:rFonts w:hint="eastAsia"/>
              </w:rPr>
              <w:t>6</w:t>
            </w:r>
            <w:r>
              <w:t>月</w:t>
            </w:r>
            <w:r>
              <w:rPr>
                <w:rFonts w:hint="eastAsia"/>
                <w:lang w:val="en-US" w:eastAsia="zh-CN"/>
              </w:rPr>
              <w:t>20</w:t>
            </w:r>
            <w:r>
              <w:t>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Q：资质范围内的高低压开关成套设备的生产和销售</w:t>
            </w:r>
          </w:p>
          <w:p>
            <w:pPr>
              <w:spacing w:line="400" w:lineRule="exact"/>
              <w:rPr>
                <w:rFonts w:ascii="宋体" w:hAnsi="宋体"/>
                <w:b/>
                <w:color w:val="000000"/>
                <w:sz w:val="20"/>
                <w:szCs w:val="20"/>
              </w:rPr>
            </w:pPr>
            <w:r>
              <w:rPr>
                <w:rFonts w:ascii="宋体" w:hAnsi="宋体"/>
                <w:b/>
                <w:color w:val="000000"/>
                <w:sz w:val="20"/>
                <w:szCs w:val="20"/>
              </w:rPr>
              <w:t>E：资质范围内的高低压开关成套设备的生产及销售所涉及场所的相关环境管理活动</w:t>
            </w:r>
          </w:p>
          <w:p>
            <w:pPr>
              <w:spacing w:line="400" w:lineRule="exact"/>
            </w:pPr>
            <w:r>
              <w:rPr>
                <w:rFonts w:ascii="宋体" w:hAnsi="宋体"/>
                <w:b/>
                <w:color w:val="000000"/>
                <w:sz w:val="20"/>
                <w:szCs w:val="20"/>
              </w:rPr>
              <w:t>O：资质范围内的高低压开关成套设备的生产及销售所涉及场所的相关职业健康安全管理活动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Q：19.09.02</w:t>
            </w:r>
          </w:p>
          <w:p>
            <w:pPr>
              <w:spacing w:line="280" w:lineRule="exact"/>
              <w:rPr>
                <w:rFonts w:ascii="宋体"/>
                <w:b/>
                <w:color w:val="000000"/>
                <w:sz w:val="20"/>
                <w:szCs w:val="20"/>
              </w:rPr>
            </w:pPr>
            <w:r>
              <w:rPr>
                <w:rFonts w:ascii="宋体"/>
                <w:b/>
                <w:color w:val="000000"/>
                <w:sz w:val="20"/>
                <w:szCs w:val="20"/>
              </w:rPr>
              <w:t>E：19.09.02</w:t>
            </w:r>
          </w:p>
          <w:p>
            <w:pPr>
              <w:spacing w:line="280" w:lineRule="exact"/>
              <w:rPr>
                <w:rFonts w:ascii="宋体"/>
                <w:b/>
                <w:color w:val="000000"/>
                <w:sz w:val="20"/>
                <w:szCs w:val="20"/>
              </w:rPr>
            </w:pPr>
            <w:r>
              <w:rPr>
                <w:rFonts w:ascii="宋体"/>
                <w:b/>
                <w:color w:val="000000"/>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rPr>
          <w:rFonts w:hint="eastAsia"/>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u w:val="single"/>
        </w:rPr>
        <w:t>行政部  质检部  市场部  生技部  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FF0000"/>
          <w:sz w:val="20"/>
          <w:szCs w:val="20"/>
          <w:u w:val="single"/>
        </w:rPr>
        <w:t xml:space="preserve"> </w:t>
      </w:r>
      <w:r>
        <w:rPr>
          <w:rFonts w:hint="eastAsia" w:ascii="宋体" w:hAnsi="宋体"/>
          <w:b/>
          <w:color w:val="000000" w:themeColor="text1"/>
          <w:sz w:val="20"/>
          <w:szCs w:val="20"/>
          <w:u w:val="single"/>
          <w:lang w:val="en-US" w:eastAsia="zh-CN"/>
        </w:rPr>
        <w:t>生产场所、办公场所</w:t>
      </w:r>
      <w:r>
        <w:rPr>
          <w:rFonts w:hint="eastAsia" w:ascii="宋体" w:hAnsi="宋体"/>
          <w:b/>
          <w:color w:val="000000" w:themeColor="text1"/>
          <w:sz w:val="20"/>
          <w:szCs w:val="20"/>
          <w:u w:val="single"/>
        </w:rPr>
        <w:t xml:space="preserve"> </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资质范围内的高低压开关成套设备的生产和销售</w:t>
            </w:r>
          </w:p>
          <w:p>
            <w:pPr>
              <w:tabs>
                <w:tab w:val="left" w:pos="360"/>
              </w:tabs>
              <w:ind w:left="360" w:hanging="360"/>
              <w:rPr>
                <w:rFonts w:ascii="宋体"/>
                <w:b/>
                <w:color w:val="000000"/>
                <w:sz w:val="20"/>
                <w:szCs w:val="20"/>
              </w:rPr>
            </w:pPr>
            <w:r>
              <w:rPr>
                <w:rFonts w:hint="eastAsia" w:ascii="宋体" w:hAnsi="宋体"/>
                <w:b/>
                <w:color w:val="000000"/>
                <w:sz w:val="20"/>
                <w:szCs w:val="20"/>
              </w:rPr>
              <w:t>服务：生产服务、销售服务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color w:val="000000"/>
                <w:sz w:val="20"/>
                <w:szCs w:val="20"/>
                <w:u w:val="single"/>
              </w:rPr>
            </w:pPr>
            <w:r>
              <w:rPr>
                <w:rFonts w:hint="eastAsia" w:ascii="宋体" w:hAnsi="宋体"/>
                <w:b/>
                <w:color w:val="000000"/>
                <w:sz w:val="20"/>
                <w:szCs w:val="20"/>
              </w:rPr>
              <w:t>公司部门设置：</w:t>
            </w:r>
            <w:r>
              <w:rPr>
                <w:rFonts w:hint="eastAsia"/>
              </w:rPr>
              <w:t>行政部  质检部  市场部  生技部  财务部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3" w:name="生产地址"/>
            <w:r>
              <w:t>海口市秀英区南海大道药谷四路18号</w:t>
            </w:r>
            <w:bookmarkEnd w:id="3"/>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sym w:font="Wingdings" w:char="00A8"/>
            </w:r>
            <w:r>
              <w:rPr>
                <w:rFonts w:hint="eastAsia" w:ascii="宋体" w:hAnsi="宋体"/>
                <w:sz w:val="20"/>
                <w:szCs w:val="20"/>
              </w:rPr>
              <w:t>自购厂房</w:t>
            </w:r>
            <w:r>
              <w:rPr>
                <w:rFonts w:ascii="宋体" w:hAnsi="宋体"/>
                <w:sz w:val="20"/>
                <w:szCs w:val="20"/>
              </w:rPr>
              <w:t xml:space="preserve">   </w:t>
            </w:r>
            <w:r>
              <w:rPr>
                <w:rFonts w:hint="eastAsia" w:ascii="宋体" w:hAnsi="宋体" w:eastAsia="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rPr>
                <w:color w:val="auto"/>
              </w:rPr>
            </w:pPr>
            <w:r>
              <w:rPr>
                <w:rFonts w:hint="eastAsia"/>
                <w:color w:val="auto"/>
              </w:rPr>
              <w:t>产品执行规范：</w:t>
            </w:r>
          </w:p>
          <w:p>
            <w:pPr>
              <w:rPr>
                <w:rFonts w:ascii="宋体" w:hAnsi="宋体"/>
                <w:color w:val="auto"/>
                <w:spacing w:val="-10"/>
                <w:sz w:val="20"/>
                <w:szCs w:val="20"/>
              </w:rPr>
            </w:pPr>
            <w:r>
              <w:rPr>
                <w:rFonts w:hint="eastAsia" w:ascii="宋体" w:hAnsi="宋体"/>
                <w:color w:val="auto"/>
                <w:spacing w:val="-10"/>
                <w:sz w:val="20"/>
                <w:szCs w:val="20"/>
              </w:rPr>
              <w:t>智能变电站智能控制柜技术规范DL/T 1881-2018</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2019-05-01</w:t>
            </w:r>
          </w:p>
          <w:p>
            <w:pPr>
              <w:rPr>
                <w:rFonts w:ascii="宋体" w:hAnsi="宋体"/>
                <w:color w:val="auto"/>
                <w:spacing w:val="-10"/>
                <w:sz w:val="20"/>
                <w:szCs w:val="20"/>
              </w:rPr>
            </w:pPr>
            <w:r>
              <w:rPr>
                <w:rFonts w:hint="eastAsia" w:ascii="宋体" w:hAnsi="宋体"/>
                <w:color w:val="auto"/>
                <w:spacing w:val="-10"/>
                <w:sz w:val="20"/>
                <w:szCs w:val="20"/>
              </w:rPr>
              <w:t>低压成套开关设备和控制设备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2015-01-13</w:t>
            </w:r>
          </w:p>
          <w:p>
            <w:pPr>
              <w:rPr>
                <w:rFonts w:ascii="宋体" w:hAnsi="宋体"/>
                <w:color w:val="auto"/>
                <w:spacing w:val="-10"/>
                <w:sz w:val="20"/>
                <w:szCs w:val="20"/>
              </w:rPr>
            </w:pPr>
            <w:r>
              <w:rPr>
                <w:rFonts w:hint="eastAsia" w:ascii="宋体" w:hAnsi="宋体"/>
                <w:color w:val="auto"/>
                <w:spacing w:val="-10"/>
                <w:sz w:val="20"/>
                <w:szCs w:val="20"/>
              </w:rPr>
              <w:t>外壳防护等级</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2009-01-01</w:t>
            </w:r>
          </w:p>
          <w:p>
            <w:pPr>
              <w:rPr>
                <w:rFonts w:ascii="宋体" w:hAnsi="宋体"/>
                <w:color w:val="auto"/>
                <w:spacing w:val="-10"/>
                <w:sz w:val="20"/>
                <w:szCs w:val="20"/>
              </w:rPr>
            </w:pPr>
            <w:r>
              <w:rPr>
                <w:rFonts w:hint="eastAsia" w:ascii="宋体" w:hAnsi="宋体"/>
                <w:color w:val="auto"/>
                <w:spacing w:val="-10"/>
                <w:sz w:val="20"/>
                <w:szCs w:val="20"/>
              </w:rPr>
              <w:t>低压电器低压成套开关设备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2014-09-01</w:t>
            </w:r>
          </w:p>
          <w:p>
            <w:pPr>
              <w:rPr>
                <w:rFonts w:hint="eastAsia" w:ascii="宋体" w:hAnsi="宋体" w:eastAsia="宋体" w:cs="Times New Roman"/>
                <w:color w:val="auto"/>
                <w:spacing w:val="-10"/>
                <w:sz w:val="20"/>
                <w:szCs w:val="20"/>
              </w:rPr>
            </w:pPr>
            <w:r>
              <w:rPr>
                <w:rFonts w:hint="eastAsia" w:ascii="宋体" w:hAnsi="宋体" w:eastAsia="宋体" w:cs="Times New Roman"/>
                <w:color w:val="auto"/>
                <w:spacing w:val="-10"/>
                <w:sz w:val="20"/>
                <w:szCs w:val="20"/>
              </w:rPr>
              <w:t>JB/T 9659.1-1999</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 xml:space="preserve"> 低压成套开关设备和控制设备用接线端子排 第1部分: 组合型和底座封闭型接线端子排</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国家机械工业局</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2000-01-01</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color w:val="auto"/>
                <w:spacing w:val="-10"/>
                <w:sz w:val="20"/>
                <w:szCs w:val="20"/>
              </w:rPr>
              <w:t xml:space="preserve"> JB/T 9665-2013</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低压成套开关设备和控制设备辅件产品型号编制方法</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工业和信息化部</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2014-07-01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spacing w:val="-10"/>
                <w:sz w:val="20"/>
                <w:szCs w:val="20"/>
              </w:rPr>
              <w:t xml:space="preserve"> DL/T 593-2016</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高压开关设备和控制设备标准的共用技术要求</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国家能源局</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2016-07-01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hAnsi="宋体"/>
                <w:sz w:val="24"/>
              </w:rPr>
            </w:pPr>
            <w:r>
              <w:rPr>
                <w:rFonts w:hint="eastAsia" w:ascii="宋体" w:hAnsi="宋体"/>
                <w:sz w:val="24"/>
                <w:lang w:val="en-US" w:eastAsia="zh-CN"/>
              </w:rPr>
              <w:t>销售</w:t>
            </w:r>
            <w:r>
              <w:rPr>
                <w:rFonts w:hint="eastAsia" w:ascii="宋体" w:hAnsi="宋体"/>
                <w:sz w:val="24"/>
              </w:rPr>
              <w:t>流程：</w:t>
            </w:r>
          </w:p>
          <w:p>
            <w:pPr>
              <w:spacing w:line="400" w:lineRule="exact"/>
              <w:rPr>
                <w:rFonts w:ascii="宋体" w:hAnsi="宋体"/>
                <w:sz w:val="24"/>
              </w:rPr>
            </w:pPr>
            <w:r>
              <w:rPr>
                <w:rFonts w:hint="eastAsia" w:ascii="宋体" w:hAnsi="宋体"/>
                <w:sz w:val="24"/>
              </w:rPr>
              <w:t>接受客户意向订单―合同评审―签订合同―下达生产任务单（组织生产）―客户验收―交付</w:t>
            </w:r>
          </w:p>
          <w:p>
            <w:pPr>
              <w:rPr>
                <w:rFonts w:ascii="宋体" w:hAnsi="宋体"/>
                <w:sz w:val="24"/>
              </w:rPr>
            </w:pPr>
            <w:r>
              <w:rPr>
                <w:rFonts w:hint="eastAsia" w:ascii="宋体" w:hAnsi="宋体"/>
                <w:sz w:val="24"/>
              </w:rPr>
              <w:t>生产流程：</w:t>
            </w:r>
          </w:p>
          <w:p>
            <w:pPr>
              <w:pStyle w:val="2"/>
              <w:rPr>
                <w:rFonts w:ascii="宋体" w:hAnsi="宋体"/>
                <w:bCs w:val="0"/>
                <w:spacing w:val="0"/>
                <w:sz w:val="24"/>
              </w:rPr>
            </w:pPr>
            <w:r>
              <w:rPr>
                <w:rFonts w:hint="eastAsia" w:ascii="宋体" w:hAnsi="宋体"/>
                <w:bCs w:val="0"/>
                <w:spacing w:val="0"/>
                <w:sz w:val="24"/>
              </w:rPr>
              <w:t>领料-检查-复查-布线-复检-复检-链接-调试-检验-入库</w:t>
            </w:r>
          </w:p>
          <w:p>
            <w:pPr>
              <w:pStyle w:val="2"/>
              <w:rPr>
                <w:rFonts w:ascii="宋体" w:hAnsi="宋体"/>
                <w:bCs w:val="0"/>
                <w:spacing w:val="0"/>
                <w:sz w:val="24"/>
              </w:rPr>
            </w:pPr>
            <w:r>
              <w:rPr>
                <w:rFonts w:hint="eastAsia" w:ascii="宋体" w:hAnsi="宋体"/>
                <w:bCs w:val="0"/>
                <w:spacing w:val="0"/>
                <w:sz w:val="24"/>
              </w:rPr>
              <w:t>其中特殊过程为：销售过程、调试过程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Cs/>
                <w:sz w:val="24"/>
              </w:rPr>
              <w:t>销售过程、调试过程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Cs/>
                <w:sz w:val="24"/>
              </w:rPr>
              <w:t>销售过程、调试过</w:t>
            </w:r>
            <w:r>
              <w:rPr>
                <w:rFonts w:hint="eastAsia" w:ascii="宋体" w:hAnsi="宋体" w:eastAsia="宋体" w:cs="Times New Roman"/>
                <w:bCs/>
                <w:sz w:val="24"/>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Cs/>
                <w:sz w:val="24"/>
              </w:rPr>
              <w:t>销售过程、调试过程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spacing w:val="-10"/>
                <w:sz w:val="20"/>
                <w:szCs w:val="20"/>
                <w:lang w:val="en-US" w:eastAsia="zh-CN"/>
              </w:rPr>
            </w:pPr>
            <w:r>
              <w:rPr>
                <w:rFonts w:hint="eastAsia" w:ascii="宋体" w:hAnsi="宋体"/>
                <w:spacing w:val="-10"/>
                <w:sz w:val="20"/>
                <w:szCs w:val="20"/>
              </w:rPr>
              <w:t>主要设备</w:t>
            </w:r>
            <w:r>
              <w:rPr>
                <w:rFonts w:hint="eastAsia" w:ascii="宋体" w:hAnsi="宋体"/>
                <w:color w:val="FF0000"/>
                <w:spacing w:val="-10"/>
                <w:sz w:val="20"/>
                <w:szCs w:val="20"/>
              </w:rPr>
              <w:t>：多功能母排加工机、切割机</w:t>
            </w:r>
            <w:r>
              <w:rPr>
                <w:rFonts w:hint="eastAsia" w:ascii="宋体" w:hAnsi="宋体"/>
                <w:color w:val="FF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w:t>
            </w:r>
            <w:r>
              <w:rPr>
                <w:rFonts w:hint="eastAsia" w:ascii="宋体" w:hAnsi="宋体"/>
                <w:color w:val="FF0000"/>
                <w:sz w:val="20"/>
                <w:szCs w:val="20"/>
              </w:rPr>
              <w:t>设备：</w:t>
            </w:r>
            <w:r>
              <w:rPr>
                <w:rFonts w:hint="eastAsia" w:ascii="宋体" w:hAnsi="宋体"/>
                <w:color w:val="FF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color w:val="000000"/>
                <w:sz w:val="20"/>
                <w:szCs w:val="20"/>
              </w:rPr>
              <w:sym w:font="Wingdings" w:char="00A8"/>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FF0000"/>
                <w:sz w:val="20"/>
                <w:szCs w:val="20"/>
              </w:rPr>
            </w:pPr>
            <w:r>
              <w:rPr>
                <w:rFonts w:hint="eastAsia" w:ascii="宋体"/>
                <w:color w:val="FF0000"/>
                <w:sz w:val="20"/>
                <w:szCs w:val="20"/>
              </w:rPr>
              <w:t>监视和测量设备（请简述主要监视和测量设备）：</w:t>
            </w:r>
          </w:p>
          <w:p>
            <w:pPr>
              <w:rPr>
                <w:rFonts w:cs="Lucida Sans"/>
                <w:b/>
                <w:color w:val="FF0000"/>
                <w:szCs w:val="20"/>
              </w:rPr>
            </w:pPr>
            <w:r>
              <w:rPr>
                <w:rFonts w:hint="eastAsia" w:cs="Lucida Sans"/>
                <w:b/>
                <w:color w:val="FF0000"/>
                <w:szCs w:val="20"/>
              </w:rPr>
              <w:t>电压表、万用表、游标卡尺、绝缘电阻表等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行政部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szCs w:val="21"/>
              </w:rPr>
              <w:t>资质范围内的高低压开关成套设备的生产和销售</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widowControl/>
              <w:spacing w:line="460" w:lineRule="exact"/>
              <w:jc w:val="left"/>
              <w:rPr>
                <w:rFonts w:ascii="宋体"/>
                <w:color w:val="000000"/>
                <w:sz w:val="20"/>
                <w:szCs w:val="20"/>
              </w:rPr>
            </w:pPr>
            <w:r>
              <w:rPr>
                <w:rFonts w:hint="eastAsia" w:ascii="宋体"/>
                <w:color w:val="000000"/>
                <w:sz w:val="20"/>
                <w:szCs w:val="20"/>
              </w:rPr>
              <w:t>重要环境因素有：</w:t>
            </w:r>
            <w:r>
              <w:rPr>
                <w:rFonts w:hint="eastAsia"/>
                <w:szCs w:val="21"/>
              </w:rPr>
              <w:t>固废排放、火灾、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widowControl/>
              <w:spacing w:line="460" w:lineRule="exact"/>
              <w:jc w:val="left"/>
              <w:rPr>
                <w:rFonts w:ascii="宋体"/>
                <w:color w:val="000000"/>
                <w:sz w:val="20"/>
                <w:szCs w:val="20"/>
              </w:rPr>
            </w:pPr>
            <w:r>
              <w:rPr>
                <w:rFonts w:hint="eastAsia" w:ascii="宋体"/>
                <w:color w:val="000000"/>
                <w:sz w:val="20"/>
                <w:szCs w:val="20"/>
              </w:rPr>
              <w:t>不可接受风险有：</w:t>
            </w:r>
            <w:r>
              <w:rPr>
                <w:rFonts w:hint="eastAsia"/>
                <w:szCs w:val="21"/>
              </w:rPr>
              <w:t>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rPr>
              <w:t>行政部  质检部  市场部  生技部  财务部</w:t>
            </w:r>
          </w:p>
          <w:p>
            <w:pPr>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销售过程、生产过程</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rPr>
              <w:t>、生</w:t>
            </w:r>
            <w:r>
              <w:rPr>
                <w:rFonts w:hint="eastAsia" w:ascii="宋体" w:hAnsi="宋体"/>
                <w:b/>
                <w:color w:val="000000"/>
                <w:sz w:val="20"/>
                <w:szCs w:val="20"/>
                <w:lang w:val="en-US" w:eastAsia="zh-CN"/>
              </w:rPr>
              <w:t>技</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生产场所、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生产场所、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4"/>
                <w:lang w:val="en-US" w:eastAsia="zh-CN"/>
              </w:rPr>
              <w:t>2020年11</w:t>
            </w:r>
            <w:r>
              <w:rPr>
                <w:rFonts w:hint="eastAsia" w:ascii="宋体" w:hAnsi="宋体"/>
                <w:color w:val="000000"/>
                <w:sz w:val="24"/>
                <w:lang w:eastAsia="zh-CN"/>
              </w:rPr>
              <w:t>月</w:t>
            </w:r>
            <w:r>
              <w:rPr>
                <w:rFonts w:hint="eastAsia" w:ascii="宋体" w:hAnsi="宋体"/>
                <w:color w:val="000000"/>
                <w:sz w:val="24"/>
                <w:lang w:val="en-US" w:eastAsia="zh-CN"/>
              </w:rPr>
              <w:t>1</w:t>
            </w: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13</w:t>
            </w:r>
            <w:r>
              <w:rPr>
                <w:rFonts w:hint="eastAsia" w:ascii="宋体" w:hAnsi="宋体"/>
                <w:color w:val="000000"/>
                <w:sz w:val="24"/>
              </w:rPr>
              <w:t>日</w:t>
            </w:r>
            <w:r>
              <w:rPr>
                <w:rFonts w:hint="eastAsia" w:ascii="宋体" w:hAnsi="宋体"/>
                <w:color w:val="000000"/>
                <w:sz w:val="24"/>
                <w:lang w:val="en-US" w:eastAsia="zh-CN"/>
              </w:rPr>
              <w:t xml:space="preserve">  组长：李娜(A)   组员：李学鸿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 w:val="24"/>
                <w:lang w:eastAsia="zh-CN"/>
              </w:rPr>
              <w:t>2020年</w:t>
            </w:r>
            <w:r>
              <w:rPr>
                <w:rFonts w:hint="eastAsia" w:ascii="宋体" w:hAnsi="宋体"/>
                <w:sz w:val="24"/>
                <w:lang w:val="en-US" w:eastAsia="zh-CN"/>
              </w:rPr>
              <w:t>11</w:t>
            </w:r>
            <w:r>
              <w:rPr>
                <w:rFonts w:hint="eastAsia" w:ascii="宋体" w:hAnsi="宋体"/>
                <w:sz w:val="24"/>
                <w:lang w:eastAsia="zh-CN"/>
              </w:rPr>
              <w:t>月</w:t>
            </w:r>
            <w:r>
              <w:rPr>
                <w:rFonts w:hint="eastAsia" w:ascii="宋体" w:hAnsi="宋体"/>
                <w:sz w:val="24"/>
                <w:lang w:val="en-US" w:eastAsia="zh-CN"/>
              </w:rPr>
              <w:t>28</w:t>
            </w:r>
            <w:r>
              <w:rPr>
                <w:rFonts w:hint="eastAsia" w:ascii="宋体" w:hAnsi="宋体"/>
                <w:sz w:val="24"/>
              </w:rPr>
              <w:t xml:space="preserve">日 </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图片 1" o:spid="_x0000_s2050" o:spt="75" type="#_x0000_t75" style="position:absolute;left:0pt;margin-left:147.45pt;margin-top:-25.65pt;height:41.65pt;width:66.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6" o:title=""/>
            <o:lock v:ext="edit" aspectratio="t"/>
            <w10:wrap type="tight"/>
          </v:shape>
        </w:pict>
      </w:r>
      <w:r>
        <w:rPr>
          <w:rFonts w:ascii="宋体" w:hAnsi="宋体"/>
          <w:b/>
          <w:color w:val="000000"/>
        </w:rPr>
        <w:t xml:space="preserve"> </w:t>
      </w:r>
    </w:p>
    <w:p>
      <w:pPr>
        <w:pStyle w:val="2"/>
      </w:pPr>
      <w:r>
        <w:pict>
          <v:shape id="_x0000_s2051" o:spid="_x0000_s2051" o:spt="75" type="#_x0000_t75" style="position:absolute;left:0pt;margin-left:142.45pt;margin-top:13.1pt;height:42.5pt;width:121.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v:imagedata r:id="rId7" o:title=""/>
            <o:lock v:ext="edit" aspectratio="t"/>
            <w10:wrap type="tight"/>
          </v:shape>
        </w:pic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.12.</w:t>
      </w:r>
      <w:r>
        <w:rPr>
          <w:rFonts w:hint="eastAsia" w:ascii="宋体" w:hAnsi="宋体"/>
          <w:b/>
          <w:color w:val="000000"/>
          <w:lang w:val="en-US" w:eastAsia="zh-CN"/>
        </w:rPr>
        <w:t>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海南万象能源科技有限公司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default" w:eastAsia="宋体"/>
                <w:color w:val="000000"/>
                <w:sz w:val="24"/>
                <w:lang w:val="en-US" w:eastAsia="zh-CN"/>
              </w:rPr>
            </w:pPr>
            <w:r>
              <w:rPr>
                <w:rFonts w:hint="eastAsia"/>
                <w:color w:val="000000"/>
                <w:sz w:val="24"/>
                <w:lang w:val="en-US" w:eastAsia="zh-CN"/>
              </w:rPr>
              <w:t xml:space="preserve">   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12</w:t>
            </w:r>
            <w:r>
              <w:rPr>
                <w:rFonts w:hint="eastAsia"/>
                <w:b/>
                <w:color w:val="000000"/>
                <w:sz w:val="22"/>
                <w:szCs w:val="22"/>
              </w:rPr>
              <w:t>月</w:t>
            </w:r>
            <w:r>
              <w:rPr>
                <w:b/>
                <w:color w:val="000000"/>
                <w:sz w:val="22"/>
                <w:szCs w:val="22"/>
              </w:rPr>
              <w:t xml:space="preserve"> 2</w:t>
            </w:r>
            <w:r>
              <w:rPr>
                <w:rFonts w:hint="eastAsia"/>
                <w:b/>
                <w:color w:val="000000"/>
                <w:sz w:val="22"/>
                <w:szCs w:val="22"/>
                <w:lang w:val="en-US" w:eastAsia="zh-CN"/>
              </w:rPr>
              <w:t>6</w:t>
            </w:r>
            <w:bookmarkStart w:id="4" w:name="_GoBack"/>
            <w:bookmarkEnd w:id="4"/>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20.12.28</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A2FFB"/>
    <w:rsid w:val="001B2618"/>
    <w:rsid w:val="00217A0D"/>
    <w:rsid w:val="00231860"/>
    <w:rsid w:val="00232BB6"/>
    <w:rsid w:val="0024143C"/>
    <w:rsid w:val="0025771B"/>
    <w:rsid w:val="00257EFE"/>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4770A"/>
    <w:rsid w:val="005756E5"/>
    <w:rsid w:val="00577AF9"/>
    <w:rsid w:val="00577E0D"/>
    <w:rsid w:val="005942AD"/>
    <w:rsid w:val="00603A10"/>
    <w:rsid w:val="00615C86"/>
    <w:rsid w:val="00623AC0"/>
    <w:rsid w:val="006251C4"/>
    <w:rsid w:val="00625612"/>
    <w:rsid w:val="006423A3"/>
    <w:rsid w:val="00664BE5"/>
    <w:rsid w:val="006657D1"/>
    <w:rsid w:val="00674673"/>
    <w:rsid w:val="00677DC8"/>
    <w:rsid w:val="00687090"/>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D09B6"/>
    <w:rsid w:val="009F5822"/>
    <w:rsid w:val="00A35AD2"/>
    <w:rsid w:val="00A45A99"/>
    <w:rsid w:val="00A45F1F"/>
    <w:rsid w:val="00A57188"/>
    <w:rsid w:val="00A66F07"/>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A5E27"/>
    <w:rsid w:val="00EB39C2"/>
    <w:rsid w:val="00EC5AF6"/>
    <w:rsid w:val="00EE5187"/>
    <w:rsid w:val="00EF1786"/>
    <w:rsid w:val="00EF2763"/>
    <w:rsid w:val="00EF7D0C"/>
    <w:rsid w:val="00F07780"/>
    <w:rsid w:val="00F329B1"/>
    <w:rsid w:val="00F46849"/>
    <w:rsid w:val="00F57EB8"/>
    <w:rsid w:val="00F651EB"/>
    <w:rsid w:val="00F769D3"/>
    <w:rsid w:val="00F9713E"/>
    <w:rsid w:val="00FE639C"/>
    <w:rsid w:val="0C721D1B"/>
    <w:rsid w:val="12D6052A"/>
    <w:rsid w:val="13AB5065"/>
    <w:rsid w:val="16A50E54"/>
    <w:rsid w:val="1E2252C2"/>
    <w:rsid w:val="21775BA8"/>
    <w:rsid w:val="28207970"/>
    <w:rsid w:val="2B1C6D57"/>
    <w:rsid w:val="36F10BB0"/>
    <w:rsid w:val="3BE052AD"/>
    <w:rsid w:val="49916B26"/>
    <w:rsid w:val="4CEA5433"/>
    <w:rsid w:val="4E7F1263"/>
    <w:rsid w:val="560832DF"/>
    <w:rsid w:val="57CE14A5"/>
    <w:rsid w:val="59000032"/>
    <w:rsid w:val="5AA57EC5"/>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1399</Words>
  <Characters>7978</Characters>
  <Lines>66</Lines>
  <Paragraphs>18</Paragraphs>
  <TotalTime>4</TotalTime>
  <ScaleCrop>false</ScaleCrop>
  <LinksUpToDate>false</LinksUpToDate>
  <CharactersWithSpaces>9359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2020-12-28T02:44:57Z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