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7"/>
        <w:gridCol w:w="1019"/>
        <w:gridCol w:w="11223"/>
        <w:gridCol w:w="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707" w:type="dxa"/>
            <w:vMerge w:val="restart"/>
            <w:vAlign w:val="center"/>
          </w:tcPr>
          <w:p>
            <w:pPr>
              <w:spacing w:line="320" w:lineRule="exact"/>
              <w:jc w:val="center"/>
              <w:rPr>
                <w:rFonts w:ascii="宋体" w:hAnsi="宋体" w:cs="宋体"/>
                <w:sz w:val="24"/>
                <w:szCs w:val="24"/>
              </w:rPr>
            </w:pPr>
            <w:r>
              <w:rPr>
                <w:rFonts w:hint="eastAsia" w:ascii="宋体" w:hAnsi="宋体" w:cs="宋体"/>
                <w:sz w:val="24"/>
                <w:szCs w:val="24"/>
              </w:rPr>
              <w:t>过程与活动、</w:t>
            </w:r>
          </w:p>
          <w:p>
            <w:pPr>
              <w:spacing w:line="320" w:lineRule="exact"/>
              <w:jc w:val="center"/>
              <w:rPr>
                <w:rFonts w:ascii="宋体" w:hAnsi="宋体" w:cs="宋体"/>
                <w:sz w:val="24"/>
                <w:szCs w:val="24"/>
              </w:rPr>
            </w:pPr>
            <w:r>
              <w:rPr>
                <w:rFonts w:hint="eastAsia" w:ascii="宋体" w:hAnsi="宋体" w:cs="宋体"/>
                <w:sz w:val="24"/>
                <w:szCs w:val="24"/>
              </w:rPr>
              <w:t>抽样计划</w:t>
            </w:r>
          </w:p>
        </w:tc>
        <w:tc>
          <w:tcPr>
            <w:tcW w:w="1019" w:type="dxa"/>
            <w:vMerge w:val="restart"/>
            <w:vAlign w:val="center"/>
          </w:tcPr>
          <w:p>
            <w:pPr>
              <w:spacing w:line="320" w:lineRule="exact"/>
              <w:rPr>
                <w:rFonts w:ascii="宋体" w:hAnsi="宋体" w:cs="宋体"/>
                <w:sz w:val="24"/>
                <w:szCs w:val="24"/>
              </w:rPr>
            </w:pPr>
            <w:r>
              <w:rPr>
                <w:rFonts w:hint="eastAsia" w:ascii="宋体" w:hAnsi="宋体" w:cs="宋体"/>
                <w:sz w:val="24"/>
                <w:szCs w:val="24"/>
              </w:rPr>
              <w:t>涉及</w:t>
            </w:r>
          </w:p>
          <w:p>
            <w:pPr>
              <w:spacing w:line="320" w:lineRule="exact"/>
              <w:rPr>
                <w:rFonts w:ascii="宋体" w:hAnsi="宋体" w:cs="宋体"/>
                <w:sz w:val="24"/>
                <w:szCs w:val="24"/>
              </w:rPr>
            </w:pPr>
            <w:r>
              <w:rPr>
                <w:rFonts w:hint="eastAsia" w:ascii="宋体" w:hAnsi="宋体" w:cs="宋体"/>
                <w:sz w:val="24"/>
                <w:szCs w:val="24"/>
              </w:rPr>
              <w:t>条款</w:t>
            </w:r>
          </w:p>
        </w:tc>
        <w:tc>
          <w:tcPr>
            <w:tcW w:w="11223" w:type="dxa"/>
            <w:vAlign w:val="center"/>
          </w:tcPr>
          <w:p>
            <w:pPr>
              <w:spacing w:line="320" w:lineRule="exact"/>
              <w:rPr>
                <w:rFonts w:ascii="宋体" w:hAnsi="宋体" w:cs="宋体"/>
                <w:color w:val="000000"/>
                <w:szCs w:val="21"/>
              </w:rPr>
            </w:pPr>
            <w:r>
              <w:rPr>
                <w:rFonts w:hint="eastAsia" w:ascii="宋体" w:hAnsi="宋体" w:cs="宋体"/>
                <w:color w:val="000000"/>
                <w:szCs w:val="21"/>
              </w:rPr>
              <w:t>受审核部门：质检部    主管领导：</w:t>
            </w:r>
            <w:r>
              <w:rPr>
                <w:rFonts w:hint="eastAsia"/>
              </w:rPr>
              <w:t>李学鸿</w:t>
            </w:r>
            <w:r>
              <w:rPr>
                <w:rFonts w:hint="eastAsia"/>
              </w:rPr>
              <w:tab/>
            </w:r>
            <w:r>
              <w:rPr>
                <w:rFonts w:hint="eastAsia"/>
              </w:rPr>
              <w:t xml:space="preserve"> </w:t>
            </w:r>
            <w:r>
              <w:t xml:space="preserve">   </w:t>
            </w:r>
            <w:r>
              <w:rPr>
                <w:rFonts w:hint="eastAsia" w:ascii="宋体" w:hAnsi="宋体" w:cs="宋体"/>
                <w:color w:val="000000"/>
                <w:szCs w:val="21"/>
              </w:rPr>
              <w:t>陪同人员：</w:t>
            </w:r>
            <w:r>
              <w:rPr>
                <w:rFonts w:hint="eastAsia"/>
              </w:rPr>
              <w:t>郑文静</w:t>
            </w:r>
            <w:r>
              <w:rPr>
                <w:rFonts w:hint="eastAsia"/>
              </w:rPr>
              <w:tab/>
            </w:r>
          </w:p>
        </w:tc>
        <w:tc>
          <w:tcPr>
            <w:tcW w:w="760" w:type="dxa"/>
            <w:vMerge w:val="restart"/>
            <w:vAlign w:val="center"/>
          </w:tcPr>
          <w:p>
            <w:pPr>
              <w:spacing w:line="320" w:lineRule="exact"/>
              <w:rPr>
                <w:rFonts w:ascii="宋体" w:hAnsi="宋体" w:cs="宋体"/>
                <w:szCs w:val="21"/>
              </w:rPr>
            </w:pPr>
            <w:r>
              <w:rPr>
                <w:rFonts w:hint="eastAsia" w:ascii="宋体" w:hAnsi="宋体" w:cs="宋体"/>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07" w:type="dxa"/>
            <w:vMerge w:val="continue"/>
            <w:vAlign w:val="center"/>
          </w:tcPr>
          <w:p>
            <w:pPr>
              <w:spacing w:line="320" w:lineRule="exact"/>
              <w:rPr>
                <w:rFonts w:ascii="宋体" w:hAnsi="宋体" w:cs="宋体"/>
                <w:sz w:val="24"/>
                <w:szCs w:val="24"/>
              </w:rPr>
            </w:pPr>
          </w:p>
        </w:tc>
        <w:tc>
          <w:tcPr>
            <w:tcW w:w="1019" w:type="dxa"/>
            <w:vMerge w:val="continue"/>
            <w:vAlign w:val="center"/>
          </w:tcPr>
          <w:p>
            <w:pPr>
              <w:spacing w:line="320" w:lineRule="exact"/>
              <w:rPr>
                <w:rFonts w:ascii="宋体" w:hAnsi="宋体" w:cs="宋体"/>
                <w:sz w:val="24"/>
                <w:szCs w:val="24"/>
              </w:rPr>
            </w:pPr>
          </w:p>
        </w:tc>
        <w:tc>
          <w:tcPr>
            <w:tcW w:w="11223" w:type="dxa"/>
            <w:vAlign w:val="center"/>
          </w:tcPr>
          <w:p>
            <w:pPr>
              <w:spacing w:line="320" w:lineRule="exact"/>
              <w:rPr>
                <w:rFonts w:hint="default" w:ascii="宋体" w:hAnsi="宋体" w:eastAsia="宋体" w:cs="宋体"/>
                <w:color w:val="000000"/>
                <w:szCs w:val="21"/>
                <w:lang w:val="en-US" w:eastAsia="zh-CN"/>
              </w:rPr>
            </w:pPr>
            <w:r>
              <w:rPr>
                <w:rFonts w:hint="eastAsia" w:ascii="宋体" w:hAnsi="宋体" w:cs="宋体"/>
                <w:color w:val="000000"/>
                <w:szCs w:val="21"/>
              </w:rPr>
              <w:t>审核员：李京田              审核时间：2020.</w:t>
            </w:r>
            <w:r>
              <w:rPr>
                <w:rFonts w:hint="eastAsia" w:ascii="宋体" w:hAnsi="宋体" w:cs="宋体"/>
                <w:color w:val="000000"/>
                <w:szCs w:val="21"/>
                <w:lang w:val="en-US" w:eastAsia="zh-CN"/>
              </w:rPr>
              <w:t>12.26</w:t>
            </w:r>
          </w:p>
        </w:tc>
        <w:tc>
          <w:tcPr>
            <w:tcW w:w="760" w:type="dxa"/>
            <w:vMerge w:val="continue"/>
          </w:tcPr>
          <w:p>
            <w:pPr>
              <w:spacing w:line="32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707" w:type="dxa"/>
            <w:vMerge w:val="continue"/>
            <w:vAlign w:val="center"/>
          </w:tcPr>
          <w:p>
            <w:pPr>
              <w:spacing w:line="320" w:lineRule="exact"/>
              <w:rPr>
                <w:rFonts w:ascii="宋体" w:hAnsi="宋体" w:cs="宋体"/>
                <w:sz w:val="24"/>
                <w:szCs w:val="24"/>
              </w:rPr>
            </w:pPr>
          </w:p>
        </w:tc>
        <w:tc>
          <w:tcPr>
            <w:tcW w:w="1019" w:type="dxa"/>
            <w:vMerge w:val="continue"/>
            <w:vAlign w:val="center"/>
          </w:tcPr>
          <w:p>
            <w:pPr>
              <w:spacing w:line="320" w:lineRule="exact"/>
              <w:rPr>
                <w:rFonts w:ascii="宋体" w:hAnsi="宋体" w:cs="宋体"/>
                <w:sz w:val="24"/>
                <w:szCs w:val="24"/>
              </w:rPr>
            </w:pPr>
          </w:p>
        </w:tc>
        <w:tc>
          <w:tcPr>
            <w:tcW w:w="11223" w:type="dxa"/>
            <w:vAlign w:val="center"/>
          </w:tcPr>
          <w:p>
            <w:pPr>
              <w:snapToGrid w:val="0"/>
              <w:spacing w:line="260" w:lineRule="exact"/>
              <w:rPr>
                <w:rFonts w:ascii="宋体" w:hAnsi="宋体" w:cs="宋体"/>
                <w:szCs w:val="21"/>
              </w:rPr>
            </w:pPr>
            <w:r>
              <w:rPr>
                <w:rFonts w:hint="eastAsia" w:ascii="宋体" w:hAnsi="宋体" w:cs="宋体"/>
                <w:szCs w:val="21"/>
              </w:rPr>
              <w:t>涉及标准条款：</w:t>
            </w:r>
          </w:p>
          <w:p>
            <w:pPr>
              <w:rPr>
                <w:rFonts w:ascii="宋体" w:hAnsi="宋体" w:cs="宋体"/>
                <w:sz w:val="24"/>
                <w:szCs w:val="24"/>
              </w:rPr>
            </w:pPr>
            <w:bookmarkStart w:id="0" w:name="_GoBack"/>
            <w:bookmarkEnd w:id="0"/>
          </w:p>
        </w:tc>
        <w:tc>
          <w:tcPr>
            <w:tcW w:w="760" w:type="dxa"/>
            <w:vMerge w:val="continue"/>
          </w:tcPr>
          <w:p>
            <w:pPr>
              <w:spacing w:line="32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1707" w:type="dxa"/>
          </w:tcPr>
          <w:p>
            <w:pPr>
              <w:spacing w:line="380" w:lineRule="exact"/>
              <w:rPr>
                <w:rFonts w:ascii="宋体" w:hAnsi="宋体" w:cs="宋体"/>
                <w:color w:val="000000"/>
                <w:kern w:val="0"/>
                <w:szCs w:val="21"/>
              </w:rPr>
            </w:pPr>
            <w:r>
              <w:rPr>
                <w:rFonts w:hint="eastAsia" w:ascii="宋体" w:hAnsi="宋体" w:cs="宋体"/>
                <w:color w:val="000000"/>
                <w:kern w:val="0"/>
                <w:szCs w:val="21"/>
              </w:rPr>
              <w:t>组织的岗位职责和权限</w:t>
            </w:r>
          </w:p>
          <w:p>
            <w:pPr>
              <w:spacing w:line="380" w:lineRule="exact"/>
              <w:rPr>
                <w:rFonts w:ascii="宋体" w:hAnsi="宋体" w:cs="宋体"/>
                <w:szCs w:val="21"/>
              </w:rPr>
            </w:pPr>
          </w:p>
        </w:tc>
        <w:tc>
          <w:tcPr>
            <w:tcW w:w="1019" w:type="dxa"/>
          </w:tcPr>
          <w:p>
            <w:pPr>
              <w:spacing w:line="380" w:lineRule="exact"/>
              <w:rPr>
                <w:rFonts w:ascii="宋体" w:hAnsi="宋体" w:cs="宋体"/>
                <w:color w:val="000000"/>
                <w:kern w:val="0"/>
                <w:szCs w:val="21"/>
              </w:rPr>
            </w:pPr>
            <w:r>
              <w:rPr>
                <w:rFonts w:hint="eastAsia" w:ascii="宋体" w:hAnsi="宋体" w:cs="宋体"/>
                <w:color w:val="000000"/>
                <w:kern w:val="0"/>
                <w:szCs w:val="21"/>
              </w:rPr>
              <w:t>QE</w:t>
            </w:r>
            <w:r>
              <w:rPr>
                <w:rFonts w:hint="eastAsia" w:ascii="宋体" w:hAnsi="宋体" w:cs="宋体"/>
                <w:color w:val="000000"/>
                <w:kern w:val="0"/>
                <w:szCs w:val="21"/>
                <w:lang w:val="en-US" w:eastAsia="zh-CN"/>
              </w:rPr>
              <w:t>S</w:t>
            </w:r>
            <w:r>
              <w:rPr>
                <w:rFonts w:hint="eastAsia" w:ascii="宋体" w:hAnsi="宋体" w:cs="宋体"/>
                <w:color w:val="000000"/>
                <w:kern w:val="0"/>
                <w:szCs w:val="21"/>
              </w:rPr>
              <w:t>5.3</w:t>
            </w:r>
          </w:p>
          <w:p>
            <w:pPr>
              <w:spacing w:line="380" w:lineRule="exact"/>
              <w:rPr>
                <w:rFonts w:ascii="宋体" w:hAnsi="宋体" w:cs="宋体"/>
                <w:szCs w:val="21"/>
              </w:rPr>
            </w:pPr>
          </w:p>
        </w:tc>
        <w:tc>
          <w:tcPr>
            <w:tcW w:w="11223" w:type="dxa"/>
            <w:vAlign w:val="center"/>
          </w:tcPr>
          <w:p>
            <w:pPr>
              <w:spacing w:line="380" w:lineRule="exact"/>
              <w:ind w:firstLine="420" w:firstLineChars="200"/>
              <w:rPr>
                <w:rFonts w:ascii="宋体" w:hAnsi="宋体" w:cs="宋体"/>
                <w:color w:val="000000"/>
                <w:szCs w:val="21"/>
              </w:rPr>
            </w:pPr>
            <w:r>
              <w:rPr>
                <w:rFonts w:hint="eastAsia" w:ascii="宋体" w:hAnsi="宋体" w:cs="宋体"/>
                <w:color w:val="000000"/>
                <w:szCs w:val="21"/>
              </w:rPr>
              <w:t>本部门主要负责质量检验产品放行及相应环境和职业健康安全的运行控制。</w:t>
            </w:r>
          </w:p>
          <w:p>
            <w:pPr>
              <w:spacing w:line="380" w:lineRule="exact"/>
              <w:ind w:firstLine="420" w:firstLineChars="200"/>
              <w:rPr>
                <w:rFonts w:ascii="宋体" w:hAnsi="宋体" w:cs="宋体"/>
                <w:szCs w:val="21"/>
              </w:rPr>
            </w:pPr>
            <w:r>
              <w:rPr>
                <w:rFonts w:hint="eastAsia" w:ascii="宋体" w:hAnsi="宋体" w:cs="宋体"/>
                <w:color w:val="000000"/>
                <w:szCs w:val="21"/>
              </w:rPr>
              <w:t>与部门负责人沟通，了解本部门的职责权限，暂无变化。</w:t>
            </w:r>
          </w:p>
        </w:tc>
        <w:tc>
          <w:tcPr>
            <w:tcW w:w="760" w:type="dxa"/>
          </w:tcPr>
          <w:p>
            <w:pPr>
              <w:spacing w:line="38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3" w:hRule="atLeast"/>
        </w:trPr>
        <w:tc>
          <w:tcPr>
            <w:tcW w:w="1707" w:type="dxa"/>
          </w:tcPr>
          <w:p>
            <w:pPr>
              <w:spacing w:line="380" w:lineRule="exact"/>
              <w:rPr>
                <w:rFonts w:ascii="宋体" w:hAnsi="宋体" w:cs="宋体"/>
                <w:szCs w:val="21"/>
              </w:rPr>
            </w:pPr>
            <w:r>
              <w:rPr>
                <w:rFonts w:hint="eastAsia" w:ascii="宋体" w:hAnsi="宋体" w:cs="宋体"/>
                <w:color w:val="000000"/>
                <w:kern w:val="0"/>
                <w:szCs w:val="21"/>
              </w:rPr>
              <w:t>目标及其实现的策划总要求</w:t>
            </w:r>
          </w:p>
        </w:tc>
        <w:tc>
          <w:tcPr>
            <w:tcW w:w="1019" w:type="dxa"/>
          </w:tcPr>
          <w:p>
            <w:pPr>
              <w:spacing w:line="380" w:lineRule="exact"/>
              <w:rPr>
                <w:rFonts w:ascii="宋体" w:hAnsi="宋体" w:cs="宋体"/>
                <w:color w:val="000000"/>
                <w:kern w:val="0"/>
                <w:szCs w:val="21"/>
              </w:rPr>
            </w:pPr>
            <w:r>
              <w:rPr>
                <w:rFonts w:hint="eastAsia" w:ascii="宋体" w:hAnsi="宋体" w:cs="宋体"/>
                <w:color w:val="000000"/>
                <w:kern w:val="0"/>
                <w:szCs w:val="21"/>
              </w:rPr>
              <w:t>QE</w:t>
            </w:r>
            <w:r>
              <w:rPr>
                <w:rFonts w:hint="eastAsia" w:ascii="宋体" w:hAnsi="宋体" w:cs="宋体"/>
                <w:color w:val="000000"/>
                <w:kern w:val="0"/>
                <w:szCs w:val="21"/>
                <w:lang w:val="en-US" w:eastAsia="zh-CN"/>
              </w:rPr>
              <w:t>S</w:t>
            </w:r>
            <w:r>
              <w:rPr>
                <w:rFonts w:hint="eastAsia" w:ascii="宋体" w:hAnsi="宋体" w:cs="宋体"/>
                <w:color w:val="000000"/>
                <w:kern w:val="0"/>
                <w:szCs w:val="21"/>
              </w:rPr>
              <w:t>6.2</w:t>
            </w:r>
          </w:p>
          <w:p>
            <w:pPr>
              <w:spacing w:line="380" w:lineRule="exact"/>
              <w:rPr>
                <w:rFonts w:ascii="宋体" w:hAnsi="宋体" w:cs="宋体"/>
                <w:szCs w:val="21"/>
              </w:rPr>
            </w:pPr>
          </w:p>
        </w:tc>
        <w:tc>
          <w:tcPr>
            <w:tcW w:w="11223" w:type="dxa"/>
            <w:vAlign w:val="center"/>
          </w:tcPr>
          <w:p>
            <w:pPr>
              <w:spacing w:line="380" w:lineRule="exact"/>
              <w:ind w:firstLine="420" w:firstLineChars="200"/>
              <w:rPr>
                <w:rFonts w:ascii="宋体" w:hAnsi="宋体" w:cs="宋体"/>
                <w:color w:val="000000"/>
                <w:szCs w:val="21"/>
              </w:rPr>
            </w:pPr>
            <w:r>
              <w:rPr>
                <w:rFonts w:hint="eastAsia" w:ascii="宋体" w:hAnsi="宋体" w:cs="宋体"/>
                <w:color w:val="000000"/>
                <w:szCs w:val="21"/>
              </w:rPr>
              <w:t>提供《目标分解表》，主要目标有:</w:t>
            </w:r>
          </w:p>
          <w:p>
            <w:pPr>
              <w:pStyle w:val="2"/>
            </w:pPr>
            <w:r>
              <w:rPr>
                <w:rFonts w:hint="eastAsia"/>
              </w:rPr>
              <w:t xml:space="preserve"> </w:t>
            </w:r>
            <w:r>
              <w:t xml:space="preserve"> </w:t>
            </w:r>
            <w:r>
              <w:rPr>
                <w:rFonts w:hint="eastAsia"/>
              </w:rPr>
              <w:t xml:space="preserve">目标 </w:t>
            </w:r>
            <w:r>
              <w:t xml:space="preserve">                      </w:t>
            </w:r>
          </w:p>
          <w:p>
            <w:pPr>
              <w:ind w:firstLine="420" w:firstLineChars="200"/>
              <w:rPr>
                <w:rFonts w:hint="eastAsia"/>
                <w:color w:val="auto"/>
              </w:rPr>
            </w:pPr>
            <w:r>
              <w:rPr>
                <w:rFonts w:hint="eastAsia"/>
                <w:color w:val="auto"/>
              </w:rPr>
              <w:t>质量检测设备周检率</w:t>
            </w:r>
            <w:r>
              <w:rPr>
                <w:rFonts w:hint="eastAsia"/>
                <w:color w:val="auto"/>
              </w:rPr>
              <w:tab/>
            </w:r>
            <w:r>
              <w:rPr>
                <w:rFonts w:hint="eastAsia"/>
                <w:color w:val="auto"/>
              </w:rPr>
              <w:t>100%</w:t>
            </w:r>
          </w:p>
          <w:p>
            <w:pPr>
              <w:ind w:firstLine="420" w:firstLineChars="200"/>
              <w:rPr>
                <w:rFonts w:hint="eastAsia"/>
                <w:color w:val="auto"/>
              </w:rPr>
            </w:pPr>
            <w:r>
              <w:rPr>
                <w:rFonts w:hint="eastAsia"/>
                <w:color w:val="auto"/>
              </w:rPr>
              <w:t>错、漏检次数</w:t>
            </w:r>
            <w:r>
              <w:rPr>
                <w:rFonts w:hint="eastAsia"/>
                <w:color w:val="auto"/>
              </w:rPr>
              <w:tab/>
            </w:r>
            <w:r>
              <w:rPr>
                <w:rFonts w:hint="eastAsia"/>
                <w:color w:val="auto"/>
              </w:rPr>
              <w:t>≤5次/年</w:t>
            </w:r>
          </w:p>
          <w:p>
            <w:pPr>
              <w:ind w:firstLine="420" w:firstLineChars="200"/>
              <w:rPr>
                <w:rFonts w:hint="eastAsia"/>
                <w:color w:val="auto"/>
              </w:rPr>
            </w:pPr>
            <w:r>
              <w:rPr>
                <w:rFonts w:hint="eastAsia"/>
                <w:color w:val="auto"/>
              </w:rPr>
              <w:t>质量技术问题处理率</w:t>
            </w:r>
            <w:r>
              <w:rPr>
                <w:rFonts w:hint="eastAsia"/>
                <w:color w:val="auto"/>
              </w:rPr>
              <w:tab/>
            </w:r>
            <w:r>
              <w:rPr>
                <w:rFonts w:hint="eastAsia"/>
                <w:color w:val="auto"/>
              </w:rPr>
              <w:t>100%</w:t>
            </w:r>
          </w:p>
          <w:p>
            <w:pPr>
              <w:ind w:firstLine="420" w:firstLineChars="200"/>
              <w:rPr>
                <w:rFonts w:hint="eastAsia"/>
                <w:color w:val="auto"/>
              </w:rPr>
            </w:pPr>
            <w:r>
              <w:rPr>
                <w:rFonts w:hint="eastAsia"/>
                <w:color w:val="auto"/>
              </w:rPr>
              <w:t>涉及环境安全技术规范文件完善率</w:t>
            </w:r>
            <w:r>
              <w:rPr>
                <w:rFonts w:hint="eastAsia"/>
                <w:color w:val="auto"/>
              </w:rPr>
              <w:tab/>
            </w:r>
            <w:r>
              <w:rPr>
                <w:rFonts w:hint="eastAsia"/>
                <w:color w:val="auto"/>
              </w:rPr>
              <w:t>≥98%</w:t>
            </w:r>
          </w:p>
          <w:p>
            <w:pPr>
              <w:ind w:firstLine="420" w:firstLineChars="200"/>
              <w:rPr>
                <w:rFonts w:hint="eastAsia"/>
                <w:color w:val="auto"/>
              </w:rPr>
            </w:pPr>
            <w:r>
              <w:rPr>
                <w:rFonts w:hint="eastAsia"/>
                <w:color w:val="auto"/>
              </w:rPr>
              <w:t>火灾发生率</w:t>
            </w:r>
            <w:r>
              <w:rPr>
                <w:rFonts w:hint="eastAsia"/>
                <w:color w:val="auto"/>
              </w:rPr>
              <w:tab/>
            </w:r>
            <w:r>
              <w:rPr>
                <w:rFonts w:hint="eastAsia"/>
                <w:color w:val="auto"/>
              </w:rPr>
              <w:t>0</w:t>
            </w:r>
          </w:p>
          <w:p>
            <w:pPr>
              <w:ind w:firstLine="420" w:firstLineChars="200"/>
              <w:rPr>
                <w:color w:val="auto"/>
              </w:rPr>
            </w:pPr>
            <w:r>
              <w:rPr>
                <w:rFonts w:hint="eastAsia"/>
                <w:color w:val="auto"/>
                <w:lang w:val="en-US" w:eastAsia="zh-CN"/>
              </w:rPr>
              <w:t>提供2020年1-11月目标完成情况统计表，目标均完成</w:t>
            </w:r>
          </w:p>
          <w:p>
            <w:pPr>
              <w:ind w:left="210" w:leftChars="100" w:firstLine="210" w:firstLineChars="100"/>
              <w:rPr>
                <w:rFonts w:hint="default" w:ascii="宋体" w:hAnsi="宋体" w:eastAsia="宋体" w:cs="宋体"/>
                <w:szCs w:val="21"/>
                <w:lang w:val="en-US" w:eastAsia="zh-CN"/>
              </w:rPr>
            </w:pPr>
            <w:r>
              <w:rPr>
                <w:rFonts w:hint="eastAsia" w:ascii="宋体" w:hAnsi="宋体" w:cs="宋体"/>
                <w:szCs w:val="21"/>
                <w:lang w:val="en-US" w:eastAsia="zh-CN"/>
              </w:rPr>
              <w:t>提供有</w:t>
            </w:r>
            <w:r>
              <w:rPr>
                <w:rFonts w:hint="eastAsia" w:ascii="宋体" w:hAnsi="宋体" w:cs="宋体"/>
                <w:szCs w:val="21"/>
              </w:rPr>
              <w:t>环境和职业健康安全体系建立了管理方案，</w:t>
            </w:r>
            <w:r>
              <w:rPr>
                <w:rFonts w:hint="eastAsia" w:ascii="宋体" w:hAnsi="宋体" w:cs="宋体"/>
                <w:szCs w:val="21"/>
                <w:lang w:val="en-US" w:eastAsia="zh-CN"/>
              </w:rPr>
              <w:t>方案可行</w:t>
            </w:r>
          </w:p>
          <w:p>
            <w:pPr>
              <w:pStyle w:val="2"/>
            </w:pPr>
          </w:p>
        </w:tc>
        <w:tc>
          <w:tcPr>
            <w:tcW w:w="760" w:type="dxa"/>
          </w:tcPr>
          <w:p>
            <w:pPr>
              <w:spacing w:line="38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1707" w:type="dxa"/>
          </w:tcPr>
          <w:p>
            <w:pPr>
              <w:spacing w:line="380" w:lineRule="exact"/>
              <w:rPr>
                <w:rFonts w:ascii="宋体" w:hAnsi="宋体" w:cs="宋体"/>
                <w:szCs w:val="21"/>
              </w:rPr>
            </w:pPr>
            <w:r>
              <w:rPr>
                <w:rFonts w:hint="eastAsia"/>
                <w:bCs/>
                <w:szCs w:val="21"/>
              </w:rPr>
              <w:t>产品和服务的放行</w:t>
            </w:r>
          </w:p>
        </w:tc>
        <w:tc>
          <w:tcPr>
            <w:tcW w:w="1019" w:type="dxa"/>
          </w:tcPr>
          <w:p>
            <w:pPr>
              <w:spacing w:line="380" w:lineRule="exact"/>
              <w:rPr>
                <w:rFonts w:ascii="宋体" w:hAnsi="宋体" w:cs="宋体"/>
                <w:bCs/>
                <w:szCs w:val="21"/>
              </w:rPr>
            </w:pPr>
            <w:r>
              <w:rPr>
                <w:rFonts w:hint="eastAsia" w:ascii="宋体" w:hAnsi="宋体" w:cs="宋体"/>
                <w:bCs/>
                <w:szCs w:val="21"/>
              </w:rPr>
              <w:t>Q8.6</w:t>
            </w:r>
          </w:p>
          <w:p>
            <w:pPr>
              <w:spacing w:line="380" w:lineRule="exact"/>
              <w:rPr>
                <w:rFonts w:ascii="宋体" w:hAnsi="宋体" w:cs="宋体"/>
                <w:szCs w:val="21"/>
              </w:rPr>
            </w:pPr>
          </w:p>
        </w:tc>
        <w:tc>
          <w:tcPr>
            <w:tcW w:w="11223" w:type="dxa"/>
          </w:tcPr>
          <w:p>
            <w:pPr>
              <w:ind w:firstLine="420" w:firstLineChars="200"/>
              <w:rPr>
                <w:rFonts w:hint="default"/>
                <w:szCs w:val="21"/>
                <w:lang w:val="en-US" w:eastAsia="zh-CN"/>
              </w:rPr>
            </w:pPr>
            <w:r>
              <w:rPr>
                <w:rFonts w:hint="eastAsia"/>
                <w:szCs w:val="21"/>
                <w:lang w:val="en-US" w:eastAsia="zh-CN"/>
              </w:rPr>
              <w:t>1.进货检验控制：提供有进货检验记录</w:t>
            </w:r>
          </w:p>
          <w:p>
            <w:pPr>
              <w:numPr>
                <w:ilvl w:val="0"/>
                <w:numId w:val="0"/>
              </w:numPr>
              <w:spacing w:line="380" w:lineRule="exact"/>
              <w:rPr>
                <w:rFonts w:hint="default" w:ascii="宋体" w:hAnsi="宋体" w:eastAsia="宋体" w:cs="宋体"/>
                <w:b/>
                <w:bCs/>
                <w:szCs w:val="21"/>
                <w:lang w:val="en-US" w:eastAsia="zh-CN"/>
              </w:rPr>
            </w:pPr>
            <w:r>
              <w:rPr>
                <w:rFonts w:hint="eastAsia" w:ascii="宋体" w:hAnsi="宋体" w:cs="宋体"/>
                <w:b/>
                <w:bCs/>
                <w:szCs w:val="21"/>
              </w:rPr>
              <w:t>2.生产过程的检验放行，</w:t>
            </w:r>
            <w:r>
              <w:rPr>
                <w:rFonts w:hint="eastAsia" w:ascii="宋体" w:hAnsi="宋体" w:cs="宋体"/>
                <w:b/>
                <w:bCs/>
                <w:szCs w:val="21"/>
                <w:lang w:val="en-US" w:eastAsia="zh-CN"/>
              </w:rPr>
              <w:t>提供有生产过程控制记录</w:t>
            </w:r>
          </w:p>
          <w:p>
            <w:pPr>
              <w:spacing w:line="380" w:lineRule="exact"/>
              <w:ind w:firstLine="421"/>
              <w:rPr>
                <w:rFonts w:hint="eastAsia" w:eastAsia="宋体"/>
                <w:lang w:val="en-US" w:eastAsia="zh-CN"/>
              </w:rPr>
            </w:pPr>
            <w:r>
              <w:rPr>
                <w:rFonts w:hint="eastAsia" w:ascii="宋体" w:hAnsi="宋体" w:cs="宋体"/>
                <w:b/>
                <w:bCs/>
                <w:szCs w:val="21"/>
              </w:rPr>
              <w:t>3.成品的放行：</w:t>
            </w:r>
            <w:r>
              <w:rPr>
                <w:rFonts w:hint="eastAsia" w:ascii="宋体" w:hAnsi="宋体" w:cs="宋体"/>
                <w:b/>
                <w:bCs/>
                <w:szCs w:val="21"/>
                <w:lang w:val="en-US" w:eastAsia="zh-CN"/>
              </w:rPr>
              <w:t>提供有成品出厂的确认检验记录、</w:t>
            </w:r>
            <w:r>
              <w:rPr>
                <w:rFonts w:hint="eastAsia" w:ascii="宋体" w:hAnsi="宋体" w:cs="宋体"/>
                <w:szCs w:val="21"/>
                <w:lang w:val="en-US" w:eastAsia="zh-CN"/>
              </w:rPr>
              <w:t>提供有国家第三方检验报告：见附件</w:t>
            </w:r>
          </w:p>
          <w:p>
            <w:pPr>
              <w:spacing w:line="380" w:lineRule="exact"/>
              <w:ind w:firstLine="421"/>
              <w:rPr>
                <w:rFonts w:hint="eastAsia" w:ascii="宋体" w:hAnsi="宋体" w:cs="宋体"/>
                <w:szCs w:val="21"/>
              </w:rPr>
            </w:pPr>
            <w:r>
              <w:rPr>
                <w:rFonts w:hint="eastAsia" w:ascii="宋体" w:hAnsi="宋体" w:cs="宋体"/>
                <w:szCs w:val="21"/>
              </w:rPr>
              <w:t xml:space="preserve">      </w:t>
            </w:r>
          </w:p>
          <w:p>
            <w:pPr>
              <w:spacing w:line="380" w:lineRule="exact"/>
              <w:ind w:firstLine="421"/>
              <w:rPr>
                <w:rFonts w:ascii="宋体" w:hAnsi="宋体" w:cs="宋体"/>
                <w:szCs w:val="21"/>
              </w:rPr>
            </w:pPr>
            <w:r>
              <w:rPr>
                <w:rFonts w:hint="eastAsia" w:ascii="宋体" w:hAnsi="宋体" w:cs="宋体"/>
                <w:szCs w:val="21"/>
              </w:rPr>
              <w:t xml:space="preserve">                                            </w:t>
            </w:r>
            <w:r>
              <w:rPr>
                <w:rFonts w:hint="eastAsia" w:ascii="宋体" w:hAnsi="宋体" w:cs="宋体"/>
                <w:szCs w:val="21"/>
              </w:rPr>
              <w:tab/>
            </w:r>
          </w:p>
        </w:tc>
        <w:tc>
          <w:tcPr>
            <w:tcW w:w="760" w:type="dxa"/>
          </w:tcPr>
          <w:p>
            <w:pPr>
              <w:spacing w:line="38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1707" w:type="dxa"/>
          </w:tcPr>
          <w:p>
            <w:pPr>
              <w:spacing w:line="380" w:lineRule="exact"/>
              <w:rPr>
                <w:bCs/>
                <w:szCs w:val="21"/>
              </w:rPr>
            </w:pPr>
            <w:r>
              <w:rPr>
                <w:rFonts w:hint="eastAsia"/>
                <w:bCs/>
                <w:szCs w:val="21"/>
              </w:rPr>
              <w:t>环境因素</w:t>
            </w:r>
          </w:p>
          <w:p>
            <w:pPr>
              <w:spacing w:line="380" w:lineRule="exact"/>
              <w:rPr>
                <w:bCs/>
                <w:szCs w:val="21"/>
              </w:rPr>
            </w:pPr>
            <w:r>
              <w:rPr>
                <w:rFonts w:hint="eastAsia"/>
                <w:bCs/>
                <w:szCs w:val="21"/>
              </w:rPr>
              <w:t>危险源</w:t>
            </w:r>
          </w:p>
        </w:tc>
        <w:tc>
          <w:tcPr>
            <w:tcW w:w="1019" w:type="dxa"/>
          </w:tcPr>
          <w:p>
            <w:pPr>
              <w:spacing w:line="380" w:lineRule="exact"/>
              <w:rPr>
                <w:bCs/>
                <w:szCs w:val="21"/>
              </w:rPr>
            </w:pPr>
            <w:r>
              <w:rPr>
                <w:rFonts w:hint="eastAsia"/>
                <w:bCs/>
                <w:szCs w:val="21"/>
              </w:rPr>
              <w:t>E</w:t>
            </w:r>
            <w:r>
              <w:rPr>
                <w:rFonts w:hint="eastAsia"/>
                <w:bCs/>
                <w:szCs w:val="21"/>
                <w:lang w:val="en-US" w:eastAsia="zh-CN"/>
              </w:rPr>
              <w:t>S</w:t>
            </w:r>
            <w:r>
              <w:rPr>
                <w:rFonts w:hint="eastAsia"/>
                <w:bCs/>
                <w:szCs w:val="21"/>
              </w:rPr>
              <w:t>6.1.2</w:t>
            </w:r>
          </w:p>
          <w:p>
            <w:pPr>
              <w:spacing w:line="380" w:lineRule="exact"/>
              <w:rPr>
                <w:bCs/>
                <w:szCs w:val="21"/>
              </w:rPr>
            </w:pPr>
          </w:p>
        </w:tc>
        <w:tc>
          <w:tcPr>
            <w:tcW w:w="11223" w:type="dxa"/>
          </w:tcPr>
          <w:p>
            <w:pPr>
              <w:spacing w:line="380" w:lineRule="exact"/>
              <w:ind w:firstLine="420" w:firstLineChars="200"/>
              <w:rPr>
                <w:rFonts w:ascii="宋体" w:hAnsi="宋体" w:cs="宋体"/>
                <w:szCs w:val="21"/>
              </w:rPr>
            </w:pPr>
            <w:r>
              <w:rPr>
                <w:rFonts w:hint="eastAsia" w:ascii="宋体" w:hAnsi="宋体" w:cs="宋体"/>
                <w:szCs w:val="21"/>
              </w:rPr>
              <w:t>编制了《环境因素识别与评价控过程序》，采用是非判断法，规定重大环境因素评定。</w:t>
            </w:r>
          </w:p>
          <w:p>
            <w:pPr>
              <w:spacing w:line="380" w:lineRule="exact"/>
              <w:ind w:firstLine="420" w:firstLineChars="200"/>
              <w:rPr>
                <w:rFonts w:ascii="宋体" w:hAnsi="宋体" w:cs="宋体"/>
                <w:szCs w:val="21"/>
              </w:rPr>
            </w:pPr>
            <w:r>
              <w:rPr>
                <w:rFonts w:hint="eastAsia" w:ascii="宋体" w:hAnsi="宋体" w:cs="宋体"/>
                <w:szCs w:val="21"/>
              </w:rPr>
              <w:t>提供《环境因素识别评价表》对生产和办公活动生命周期全过程分别进行排查，考虑了大气污染、噪声污染、土壤污染、水污染、废弃物污染、能源和资源消耗、火灾等方面；从过去、现在、将来三种时态；正常、异常和紧急三种。</w:t>
            </w:r>
          </w:p>
          <w:p>
            <w:pPr>
              <w:spacing w:line="380" w:lineRule="exact"/>
              <w:ind w:firstLine="420" w:firstLineChars="200"/>
              <w:rPr>
                <w:rFonts w:ascii="宋体" w:hAnsi="宋体" w:cs="宋体"/>
                <w:szCs w:val="21"/>
              </w:rPr>
            </w:pPr>
            <w:r>
              <w:rPr>
                <w:rFonts w:hint="eastAsia" w:ascii="宋体" w:hAnsi="宋体" w:cs="宋体"/>
                <w:szCs w:val="21"/>
              </w:rPr>
              <w:t>J检验过程中的环境因素，除了本身在检验过程中的环境因素外，公司也识别了能够施加影响的供方和客户的环境因素。另外，在采购产品的使用寿命结束后处理和最终处置相关的潜在重大环境影响。本部门识别的各区域环境因素有：废气粉尘、废水排放、噪声排放、固体废弃物排放、潜在火灾、水电能源消耗等。重要环境因素经按影响程度识别有：火灾。</w:t>
            </w:r>
          </w:p>
          <w:p>
            <w:pPr>
              <w:spacing w:line="380" w:lineRule="exact"/>
              <w:ind w:firstLine="420" w:firstLineChars="200"/>
              <w:rPr>
                <w:rFonts w:ascii="宋体" w:hAnsi="宋体" w:cs="宋体"/>
                <w:szCs w:val="21"/>
              </w:rPr>
            </w:pPr>
            <w:r>
              <w:rPr>
                <w:rFonts w:hint="eastAsia" w:ascii="宋体" w:hAnsi="宋体" w:cs="宋体"/>
                <w:szCs w:val="21"/>
              </w:rPr>
              <w:t>环境因素识别经核实基本齐全。</w:t>
            </w:r>
          </w:p>
          <w:p>
            <w:pPr>
              <w:spacing w:line="380" w:lineRule="exact"/>
              <w:ind w:firstLine="420" w:firstLineChars="200"/>
              <w:rPr>
                <w:rFonts w:ascii="宋体" w:hAnsi="宋体" w:cs="宋体"/>
                <w:szCs w:val="21"/>
              </w:rPr>
            </w:pPr>
            <w:r>
              <w:rPr>
                <w:rFonts w:hint="eastAsia" w:ascii="宋体" w:hAnsi="宋体" w:cs="宋体"/>
                <w:szCs w:val="21"/>
              </w:rPr>
              <w:t>编制了《危险源辨识和风险评价程序》，采用危险源级别判定标准，规定不可接受风险判定。</w:t>
            </w:r>
          </w:p>
          <w:p>
            <w:pPr>
              <w:spacing w:line="380" w:lineRule="exact"/>
              <w:ind w:firstLine="420" w:firstLineChars="200"/>
              <w:rPr>
                <w:rFonts w:ascii="宋体" w:hAnsi="宋体" w:cs="宋体"/>
                <w:szCs w:val="21"/>
              </w:rPr>
            </w:pPr>
            <w:r>
              <w:rPr>
                <w:rFonts w:hint="eastAsia" w:ascii="宋体" w:hAnsi="宋体" w:cs="宋体"/>
                <w:szCs w:val="21"/>
              </w:rPr>
              <w:t>提供《危险源辨识和风险评价表》对生产生产各过程和办公活动分别进行辨识，考虑了触电、职业病伤害、意外伤害、火灾等方面；从过去、现在、将来三种时态；正常、异常和紧急三种状态识别危险源。</w:t>
            </w:r>
          </w:p>
          <w:p>
            <w:pPr>
              <w:spacing w:line="380" w:lineRule="exact"/>
              <w:ind w:firstLine="420" w:firstLineChars="200"/>
              <w:rPr>
                <w:rFonts w:ascii="宋体" w:hAnsi="宋体" w:cs="宋体"/>
                <w:szCs w:val="21"/>
              </w:rPr>
            </w:pPr>
            <w:r>
              <w:rPr>
                <w:rFonts w:hint="eastAsia" w:ascii="宋体" w:hAnsi="宋体" w:cs="宋体"/>
                <w:szCs w:val="21"/>
              </w:rPr>
              <w:t>本部门识别的各区域危险源有：触电、意外伤害、火灾等。不可接受风险识别有：火灾、意外伤害、触电。</w:t>
            </w:r>
          </w:p>
          <w:p>
            <w:pPr>
              <w:spacing w:line="380" w:lineRule="exact"/>
              <w:ind w:firstLine="420" w:firstLineChars="200"/>
              <w:rPr>
                <w:rFonts w:ascii="宋体" w:hAnsi="宋体" w:cs="宋体"/>
                <w:szCs w:val="21"/>
              </w:rPr>
            </w:pPr>
            <w:r>
              <w:rPr>
                <w:rFonts w:hint="eastAsia" w:ascii="宋体" w:hAnsi="宋体" w:cs="宋体"/>
                <w:szCs w:val="21"/>
              </w:rPr>
              <w:t>危险源识别经核实基本齐全。</w:t>
            </w:r>
          </w:p>
        </w:tc>
        <w:tc>
          <w:tcPr>
            <w:tcW w:w="760" w:type="dxa"/>
          </w:tcPr>
          <w:p>
            <w:pPr>
              <w:spacing w:line="38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7" w:hRule="atLeast"/>
        </w:trPr>
        <w:tc>
          <w:tcPr>
            <w:tcW w:w="1707" w:type="dxa"/>
          </w:tcPr>
          <w:p>
            <w:pPr>
              <w:spacing w:line="380" w:lineRule="exact"/>
              <w:rPr>
                <w:rFonts w:ascii="宋体" w:hAnsi="宋体" w:cs="宋体"/>
                <w:szCs w:val="21"/>
              </w:rPr>
            </w:pPr>
            <w:r>
              <w:rPr>
                <w:rFonts w:hint="eastAsia"/>
                <w:bCs/>
                <w:szCs w:val="21"/>
              </w:rPr>
              <w:t>运行控制</w:t>
            </w:r>
          </w:p>
        </w:tc>
        <w:tc>
          <w:tcPr>
            <w:tcW w:w="1019" w:type="dxa"/>
          </w:tcPr>
          <w:p>
            <w:pPr>
              <w:spacing w:line="380" w:lineRule="exact"/>
              <w:rPr>
                <w:bCs/>
                <w:szCs w:val="21"/>
              </w:rPr>
            </w:pPr>
            <w:r>
              <w:rPr>
                <w:rFonts w:hint="eastAsia"/>
                <w:bCs/>
                <w:szCs w:val="21"/>
              </w:rPr>
              <w:t>E</w:t>
            </w:r>
            <w:r>
              <w:rPr>
                <w:rFonts w:hint="eastAsia"/>
                <w:bCs/>
                <w:szCs w:val="21"/>
                <w:lang w:val="en-US" w:eastAsia="zh-CN"/>
              </w:rPr>
              <w:t>S</w:t>
            </w:r>
            <w:r>
              <w:rPr>
                <w:rFonts w:hint="eastAsia"/>
                <w:bCs/>
                <w:szCs w:val="21"/>
              </w:rPr>
              <w:t>8.1</w:t>
            </w:r>
          </w:p>
          <w:p>
            <w:pPr>
              <w:spacing w:line="380" w:lineRule="exact"/>
              <w:rPr>
                <w:rFonts w:ascii="宋体" w:hAnsi="宋体" w:cs="宋体"/>
                <w:color w:val="000000"/>
                <w:szCs w:val="21"/>
              </w:rPr>
            </w:pPr>
          </w:p>
        </w:tc>
        <w:tc>
          <w:tcPr>
            <w:tcW w:w="11223" w:type="dxa"/>
          </w:tcPr>
          <w:p>
            <w:pPr>
              <w:spacing w:line="380" w:lineRule="exact"/>
              <w:ind w:firstLine="420" w:firstLineChars="200"/>
              <w:rPr>
                <w:rFonts w:ascii="宋体" w:hAnsi="宋体" w:cs="宋体"/>
                <w:szCs w:val="21"/>
              </w:rPr>
            </w:pPr>
            <w:r>
              <w:rPr>
                <w:rFonts w:hint="eastAsia" w:ascii="宋体" w:hAnsi="宋体" w:cs="宋体"/>
                <w:szCs w:val="21"/>
              </w:rPr>
              <w:t>编制与环境、安全体系运行控制有关的文件有《环境运行控制程序》、《职业健康安全运行控制程序》、《相关方管理程序》等。</w:t>
            </w:r>
          </w:p>
          <w:p>
            <w:pPr>
              <w:spacing w:line="380" w:lineRule="exact"/>
              <w:ind w:firstLine="420" w:firstLineChars="200"/>
              <w:rPr>
                <w:rFonts w:ascii="宋体" w:hAnsi="宋体" w:cs="宋体"/>
                <w:szCs w:val="21"/>
              </w:rPr>
            </w:pPr>
            <w:r>
              <w:rPr>
                <w:rFonts w:hint="eastAsia" w:ascii="宋体" w:hAnsi="宋体" w:cs="宋体"/>
                <w:szCs w:val="21"/>
              </w:rPr>
              <w:t>现场查：</w:t>
            </w:r>
          </w:p>
          <w:p>
            <w:pPr>
              <w:spacing w:line="380" w:lineRule="exact"/>
              <w:ind w:firstLine="420" w:firstLineChars="200"/>
              <w:rPr>
                <w:rFonts w:ascii="宋体" w:hAnsi="宋体" w:cs="宋体"/>
                <w:szCs w:val="21"/>
              </w:rPr>
            </w:pPr>
            <w:r>
              <w:rPr>
                <w:rFonts w:hint="eastAsia" w:ascii="宋体" w:hAnsi="宋体" w:cs="宋体"/>
                <w:szCs w:val="21"/>
              </w:rPr>
              <w:t>废水管控：检验过程无废水废液产生。生活污水排放政府污水管网统一集中处理。</w:t>
            </w:r>
          </w:p>
          <w:p>
            <w:pPr>
              <w:spacing w:line="380" w:lineRule="exact"/>
              <w:ind w:firstLine="420" w:firstLineChars="200"/>
              <w:rPr>
                <w:rFonts w:ascii="宋体" w:hAnsi="宋体" w:cs="宋体"/>
                <w:szCs w:val="21"/>
              </w:rPr>
            </w:pPr>
            <w:r>
              <w:rPr>
                <w:rFonts w:hint="eastAsia" w:ascii="宋体" w:hAnsi="宋体" w:cs="宋体"/>
                <w:szCs w:val="21"/>
              </w:rPr>
              <w:t>废气管控：检验过程无废气产生。</w:t>
            </w:r>
          </w:p>
          <w:p>
            <w:pPr>
              <w:spacing w:line="380" w:lineRule="exact"/>
              <w:ind w:firstLine="420" w:firstLineChars="200"/>
              <w:rPr>
                <w:rFonts w:ascii="宋体" w:hAnsi="宋体" w:cs="宋体"/>
                <w:szCs w:val="21"/>
              </w:rPr>
            </w:pPr>
            <w:r>
              <w:rPr>
                <w:rFonts w:hint="eastAsia" w:ascii="宋体" w:hAnsi="宋体" w:cs="宋体"/>
                <w:szCs w:val="21"/>
              </w:rPr>
              <w:t>噪声管控：检验过程选用了低噪声的设备和工具，同时在厂房内生产，加强设备的检查和维保，确保机械设备在正常工况下运行，周围无环境敏感点。</w:t>
            </w:r>
          </w:p>
          <w:p>
            <w:pPr>
              <w:spacing w:line="380" w:lineRule="exact"/>
              <w:ind w:firstLine="420" w:firstLineChars="200"/>
              <w:rPr>
                <w:rFonts w:ascii="宋体" w:hAnsi="宋体" w:cs="宋体"/>
                <w:szCs w:val="21"/>
              </w:rPr>
            </w:pPr>
            <w:r>
              <w:rPr>
                <w:rFonts w:hint="eastAsia" w:ascii="宋体" w:hAnsi="宋体" w:cs="宋体"/>
                <w:szCs w:val="21"/>
              </w:rPr>
              <w:t>固废管控：检验过程中主要为拆包装袋，质检部将以上固废放置公司固定位置，积攒一定量后出售有处理能力的单位回收再利用；</w:t>
            </w:r>
          </w:p>
          <w:p>
            <w:pPr>
              <w:spacing w:line="380" w:lineRule="exact"/>
              <w:ind w:firstLine="420" w:firstLineChars="200"/>
              <w:rPr>
                <w:rFonts w:ascii="宋体" w:hAnsi="宋体" w:cs="宋体"/>
                <w:szCs w:val="21"/>
              </w:rPr>
            </w:pPr>
            <w:r>
              <w:rPr>
                <w:rFonts w:hint="eastAsia" w:ascii="宋体" w:hAnsi="宋体" w:cs="宋体"/>
                <w:szCs w:val="21"/>
              </w:rPr>
              <w:t>资、能源管控：能源、资源消耗控制：在检验过程中合理安排避免无序、重复检验；现场杜绝用水跑冒滴漏，采用节水阀门和节能灯等节能设备。</w:t>
            </w:r>
          </w:p>
          <w:p>
            <w:pPr>
              <w:spacing w:line="380" w:lineRule="exact"/>
              <w:ind w:firstLine="420" w:firstLineChars="200"/>
              <w:rPr>
                <w:rFonts w:ascii="宋体" w:hAnsi="宋体" w:cs="宋体"/>
                <w:szCs w:val="21"/>
              </w:rPr>
            </w:pPr>
            <w:r>
              <w:rPr>
                <w:rFonts w:hint="eastAsia" w:ascii="宋体" w:hAnsi="宋体" w:cs="宋体"/>
                <w:szCs w:val="21"/>
              </w:rPr>
              <w:t>产品周期的环境管控：公司从采用产品时已考虑了产品的环保性（包括其包装），生产过程中，严格按照环保等管理制度实施，控制好辅助材料的计量，避免浪费。</w:t>
            </w:r>
          </w:p>
          <w:p>
            <w:pPr>
              <w:spacing w:line="380" w:lineRule="exact"/>
              <w:ind w:firstLine="420" w:firstLineChars="200"/>
              <w:rPr>
                <w:rFonts w:ascii="宋体" w:hAnsi="宋体" w:cs="宋体"/>
                <w:szCs w:val="21"/>
              </w:rPr>
            </w:pPr>
            <w:r>
              <w:rPr>
                <w:rFonts w:hint="eastAsia" w:ascii="宋体" w:hAnsi="宋体" w:cs="宋体"/>
                <w:szCs w:val="21"/>
              </w:rPr>
              <w:t>潜在火灾管控：办公区域配有消防栓、灭火器，均在有效期内，经了解未发生过触电和火灾事故。</w:t>
            </w:r>
          </w:p>
          <w:p>
            <w:pPr>
              <w:spacing w:line="380" w:lineRule="exact"/>
              <w:ind w:firstLine="420" w:firstLineChars="200"/>
              <w:rPr>
                <w:rFonts w:ascii="宋体" w:hAnsi="宋体" w:cs="宋体"/>
                <w:szCs w:val="21"/>
              </w:rPr>
            </w:pPr>
            <w:r>
              <w:rPr>
                <w:rFonts w:hint="eastAsia" w:ascii="宋体" w:hAnsi="宋体" w:cs="宋体"/>
                <w:szCs w:val="21"/>
              </w:rPr>
              <w:t>职业健康安全管控：发放安全帽、工服、手套等劳保，并能穿戴。</w:t>
            </w:r>
          </w:p>
          <w:p>
            <w:pPr>
              <w:spacing w:line="380" w:lineRule="exact"/>
              <w:ind w:firstLine="420" w:firstLineChars="200"/>
              <w:rPr>
                <w:rFonts w:ascii="宋体" w:hAnsi="宋体" w:cs="宋体"/>
                <w:szCs w:val="21"/>
              </w:rPr>
            </w:pPr>
            <w:r>
              <w:rPr>
                <w:rFonts w:hint="eastAsia" w:ascii="宋体" w:hAnsi="宋体" w:cs="宋体"/>
                <w:szCs w:val="21"/>
              </w:rPr>
              <w:t xml:space="preserve"> 提供公司与员工签订的劳动合同，见审核办公室该条款记录。</w:t>
            </w:r>
          </w:p>
          <w:p>
            <w:pPr>
              <w:spacing w:line="380" w:lineRule="exact"/>
              <w:ind w:firstLine="420" w:firstLineChars="200"/>
              <w:rPr>
                <w:rFonts w:ascii="宋体" w:hAnsi="宋体" w:cs="宋体"/>
                <w:szCs w:val="21"/>
              </w:rPr>
            </w:pPr>
            <w:r>
              <w:rPr>
                <w:rFonts w:hint="eastAsia" w:ascii="宋体" w:hAnsi="宋体" w:cs="宋体"/>
                <w:szCs w:val="21"/>
              </w:rPr>
              <w:t>经了解公司为职工缴纳社保，见审核办公室该条款记录。</w:t>
            </w:r>
          </w:p>
          <w:p>
            <w:pPr>
              <w:spacing w:line="380" w:lineRule="exact"/>
              <w:ind w:firstLine="420" w:firstLineChars="200"/>
              <w:rPr>
                <w:rFonts w:ascii="宋体" w:hAnsi="宋体" w:cs="宋体"/>
                <w:szCs w:val="21"/>
              </w:rPr>
            </w:pPr>
            <w:r>
              <w:rPr>
                <w:rFonts w:hint="eastAsia" w:ascii="宋体" w:hAnsi="宋体" w:cs="宋体"/>
                <w:szCs w:val="21"/>
              </w:rPr>
              <w:t>按有关程序和要求通报供方和顾客，采用〈告知函〉方式通报。查到相关方告知书。</w:t>
            </w:r>
          </w:p>
          <w:p>
            <w:pPr>
              <w:spacing w:line="380" w:lineRule="exact"/>
              <w:ind w:firstLine="420" w:firstLineChars="200"/>
              <w:rPr>
                <w:rFonts w:ascii="宋体" w:hAnsi="宋体" w:cs="宋体"/>
                <w:szCs w:val="21"/>
              </w:rPr>
            </w:pPr>
            <w:r>
              <w:rPr>
                <w:rFonts w:hint="eastAsia" w:ascii="宋体" w:hAnsi="宋体" w:cs="宋体"/>
                <w:szCs w:val="21"/>
              </w:rPr>
              <w:t>经了解未发生相关方造成的环境污染以及职业健康安全问题情况。</w:t>
            </w:r>
          </w:p>
          <w:p>
            <w:pPr>
              <w:spacing w:line="380" w:lineRule="exact"/>
              <w:ind w:firstLine="420" w:firstLineChars="200"/>
              <w:rPr>
                <w:rFonts w:ascii="宋体" w:hAnsi="宋体" w:cs="宋体"/>
                <w:szCs w:val="21"/>
              </w:rPr>
            </w:pPr>
            <w:r>
              <w:rPr>
                <w:rFonts w:hint="eastAsia" w:ascii="宋体" w:hAnsi="宋体" w:cs="宋体"/>
                <w:szCs w:val="21"/>
              </w:rPr>
              <w:t>运行控制基本有效。</w:t>
            </w:r>
          </w:p>
        </w:tc>
        <w:tc>
          <w:tcPr>
            <w:tcW w:w="760" w:type="dxa"/>
          </w:tcPr>
          <w:p>
            <w:pPr>
              <w:spacing w:line="380" w:lineRule="exact"/>
              <w:rPr>
                <w:rFonts w:ascii="宋体" w:hAnsi="宋体" w:cs="宋体"/>
                <w:szCs w:val="21"/>
              </w:rPr>
            </w:pPr>
          </w:p>
          <w:p>
            <w:pPr>
              <w:spacing w:line="380" w:lineRule="exact"/>
              <w:rPr>
                <w:rFonts w:ascii="宋体" w:hAnsi="宋体" w:cs="宋体"/>
                <w:szCs w:val="21"/>
              </w:rPr>
            </w:pPr>
          </w:p>
          <w:p>
            <w:pPr>
              <w:spacing w:line="380" w:lineRule="exact"/>
              <w:rPr>
                <w:rFonts w:ascii="宋体" w:hAnsi="宋体" w:cs="宋体"/>
                <w:szCs w:val="21"/>
              </w:rPr>
            </w:pPr>
          </w:p>
          <w:p>
            <w:pPr>
              <w:spacing w:line="380" w:lineRule="exact"/>
              <w:rPr>
                <w:rFonts w:ascii="宋体" w:hAnsi="宋体" w:cs="宋体"/>
                <w:szCs w:val="21"/>
              </w:rPr>
            </w:pPr>
          </w:p>
          <w:p>
            <w:pPr>
              <w:spacing w:line="380" w:lineRule="exact"/>
              <w:rPr>
                <w:rFonts w:ascii="宋体" w:hAnsi="宋体" w:cs="宋体"/>
                <w:szCs w:val="21"/>
              </w:rPr>
            </w:pPr>
          </w:p>
          <w:p>
            <w:pPr>
              <w:spacing w:line="380" w:lineRule="exact"/>
              <w:rPr>
                <w:rFonts w:ascii="宋体" w:hAnsi="宋体" w:cs="宋体"/>
                <w:szCs w:val="21"/>
              </w:rPr>
            </w:pPr>
          </w:p>
          <w:p>
            <w:pPr>
              <w:spacing w:line="380" w:lineRule="exact"/>
              <w:rPr>
                <w:rFonts w:ascii="宋体" w:hAnsi="宋体" w:cs="宋体"/>
                <w:szCs w:val="21"/>
              </w:rPr>
            </w:pPr>
          </w:p>
          <w:p>
            <w:pPr>
              <w:spacing w:line="380" w:lineRule="exact"/>
              <w:rPr>
                <w:rFonts w:ascii="宋体" w:hAnsi="宋体" w:cs="宋体"/>
                <w:szCs w:val="21"/>
              </w:rPr>
            </w:pPr>
          </w:p>
          <w:p>
            <w:pPr>
              <w:spacing w:line="380" w:lineRule="exact"/>
              <w:rPr>
                <w:rFonts w:ascii="宋体" w:hAnsi="宋体" w:cs="宋体"/>
                <w:szCs w:val="21"/>
              </w:rPr>
            </w:pPr>
          </w:p>
          <w:p>
            <w:pPr>
              <w:spacing w:line="380" w:lineRule="exact"/>
              <w:rPr>
                <w:rFonts w:ascii="宋体" w:hAnsi="宋体" w:cs="宋体"/>
                <w:szCs w:val="21"/>
              </w:rPr>
            </w:pPr>
          </w:p>
          <w:p>
            <w:pPr>
              <w:spacing w:line="380" w:lineRule="exact"/>
              <w:rPr>
                <w:rFonts w:ascii="宋体" w:hAnsi="宋体" w:cs="宋体"/>
                <w:szCs w:val="21"/>
              </w:rPr>
            </w:pPr>
          </w:p>
          <w:p>
            <w:pPr>
              <w:spacing w:line="380" w:lineRule="exact"/>
              <w:rPr>
                <w:rFonts w:ascii="宋体" w:hAnsi="宋体" w:cs="宋体"/>
                <w:szCs w:val="21"/>
              </w:rPr>
            </w:pPr>
          </w:p>
          <w:p>
            <w:pPr>
              <w:spacing w:line="380" w:lineRule="exact"/>
              <w:rPr>
                <w:rFonts w:ascii="宋体" w:hAnsi="宋体" w:cs="宋体"/>
                <w:szCs w:val="21"/>
              </w:rPr>
            </w:pPr>
          </w:p>
          <w:p>
            <w:pPr>
              <w:spacing w:line="380" w:lineRule="exact"/>
              <w:rPr>
                <w:rFonts w:ascii="宋体" w:hAnsi="宋体" w:cs="宋体"/>
                <w:szCs w:val="21"/>
              </w:rPr>
            </w:pPr>
          </w:p>
          <w:p>
            <w:pPr>
              <w:spacing w:line="380" w:lineRule="exact"/>
              <w:rPr>
                <w:rFonts w:ascii="宋体" w:hAnsi="宋体" w:cs="宋体"/>
                <w:szCs w:val="21"/>
              </w:rPr>
            </w:pPr>
          </w:p>
          <w:p>
            <w:pPr>
              <w:spacing w:line="380" w:lineRule="exact"/>
              <w:rPr>
                <w:rFonts w:ascii="宋体" w:hAnsi="宋体" w:cs="宋体"/>
                <w:szCs w:val="21"/>
              </w:rPr>
            </w:pPr>
          </w:p>
          <w:p>
            <w:pPr>
              <w:spacing w:line="380" w:lineRule="exact"/>
              <w:rPr>
                <w:rFonts w:ascii="宋体" w:hAnsi="宋体" w:cs="宋体"/>
                <w:szCs w:val="21"/>
              </w:rPr>
            </w:pPr>
          </w:p>
          <w:p>
            <w:pPr>
              <w:spacing w:line="380" w:lineRule="exact"/>
              <w:rPr>
                <w:rFonts w:ascii="宋体" w:hAnsi="宋体" w:cs="宋体"/>
                <w:szCs w:val="21"/>
              </w:rPr>
            </w:pPr>
          </w:p>
          <w:p>
            <w:pPr>
              <w:spacing w:line="380" w:lineRule="exact"/>
              <w:rPr>
                <w:rFonts w:ascii="宋体" w:hAnsi="宋体" w:cs="宋体"/>
                <w:szCs w:val="21"/>
              </w:rPr>
            </w:pPr>
          </w:p>
          <w:p>
            <w:pPr>
              <w:spacing w:line="380" w:lineRule="exact"/>
              <w:rPr>
                <w:rFonts w:ascii="宋体" w:hAnsi="宋体" w:cs="宋体"/>
                <w:szCs w:val="21"/>
              </w:rPr>
            </w:pPr>
          </w:p>
          <w:p>
            <w:pPr>
              <w:spacing w:line="38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1707" w:type="dxa"/>
          </w:tcPr>
          <w:p>
            <w:pPr>
              <w:spacing w:line="380" w:lineRule="exact"/>
              <w:rPr>
                <w:rFonts w:ascii="宋体" w:hAnsi="宋体" w:cs="宋体"/>
                <w:szCs w:val="21"/>
              </w:rPr>
            </w:pPr>
            <w:r>
              <w:rPr>
                <w:rFonts w:hint="eastAsia"/>
                <w:bCs/>
                <w:szCs w:val="21"/>
              </w:rPr>
              <w:t>应急准备和相应</w:t>
            </w:r>
          </w:p>
        </w:tc>
        <w:tc>
          <w:tcPr>
            <w:tcW w:w="1019" w:type="dxa"/>
          </w:tcPr>
          <w:p>
            <w:pPr>
              <w:spacing w:line="380" w:lineRule="exact"/>
              <w:rPr>
                <w:bCs/>
                <w:szCs w:val="21"/>
              </w:rPr>
            </w:pPr>
            <w:r>
              <w:rPr>
                <w:rFonts w:hint="eastAsia"/>
                <w:bCs/>
                <w:szCs w:val="21"/>
              </w:rPr>
              <w:t>E</w:t>
            </w:r>
            <w:r>
              <w:rPr>
                <w:rFonts w:hint="eastAsia"/>
                <w:bCs/>
                <w:szCs w:val="21"/>
                <w:lang w:val="en-US" w:eastAsia="zh-CN"/>
              </w:rPr>
              <w:t>S</w:t>
            </w:r>
            <w:r>
              <w:rPr>
                <w:rFonts w:hint="eastAsia"/>
                <w:bCs/>
                <w:szCs w:val="21"/>
              </w:rPr>
              <w:t>8.2</w:t>
            </w:r>
          </w:p>
          <w:p>
            <w:pPr>
              <w:spacing w:line="380" w:lineRule="exact"/>
              <w:rPr>
                <w:rFonts w:ascii="宋体" w:hAnsi="宋体" w:cs="宋体"/>
                <w:color w:val="000000"/>
                <w:szCs w:val="21"/>
              </w:rPr>
            </w:pPr>
          </w:p>
        </w:tc>
        <w:tc>
          <w:tcPr>
            <w:tcW w:w="11223" w:type="dxa"/>
          </w:tcPr>
          <w:p>
            <w:pPr>
              <w:spacing w:line="380" w:lineRule="exact"/>
              <w:ind w:firstLine="420" w:firstLineChars="200"/>
              <w:rPr>
                <w:color w:val="000000"/>
                <w:szCs w:val="21"/>
              </w:rPr>
            </w:pPr>
            <w:r>
              <w:rPr>
                <w:rFonts w:hint="eastAsia" w:ascii="宋体" w:hAnsi="宋体" w:cs="宋体"/>
                <w:szCs w:val="21"/>
              </w:rPr>
              <w:t>参加综合部组织的应急培训和演练，详见审核办公室该条款记录。</w:t>
            </w:r>
          </w:p>
        </w:tc>
        <w:tc>
          <w:tcPr>
            <w:tcW w:w="760" w:type="dxa"/>
          </w:tcPr>
          <w:p>
            <w:pPr>
              <w:spacing w:line="380" w:lineRule="exact"/>
              <w:rPr>
                <w:rFonts w:ascii="宋体" w:hAnsi="宋体" w:cs="宋体"/>
                <w:szCs w:val="21"/>
              </w:rPr>
            </w:pPr>
          </w:p>
        </w:tc>
      </w:tr>
    </w:tbl>
    <w:p>
      <w:pPr>
        <w:pStyle w:val="6"/>
        <w:spacing w:line="380" w:lineRule="exact"/>
      </w:pPr>
      <w:r>
        <w:rPr>
          <w:rFonts w:hint="eastAsia"/>
          <w:sz w:val="21"/>
          <w:szCs w:val="21"/>
        </w:rPr>
        <w:t>说明：不符合标注N</w:t>
      </w:r>
    </w:p>
    <w:p>
      <w:pPr>
        <w:pStyle w:val="6"/>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6"/>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7"/>
      <w:pBdr>
        <w:bottom w:val="none" w:color="auto" w:sz="0" w:space="1"/>
      </w:pBdr>
      <w:spacing w:line="320" w:lineRule="exact"/>
      <w:jc w:val="left"/>
    </w:pPr>
    <w:r>
      <mc:AlternateContent>
        <mc:Choice Requires="wps">
          <w:drawing>
            <wp:anchor distT="0" distB="0" distL="114300" distR="114300" simplePos="0" relativeHeight="251661312" behindDoc="0" locked="0" layoutInCell="1" allowOverlap="1">
              <wp:simplePos x="0" y="0"/>
              <wp:positionH relativeFrom="column">
                <wp:posOffset>7045325</wp:posOffset>
              </wp:positionH>
              <wp:positionV relativeFrom="paragraph">
                <wp:posOffset>27940</wp:posOffset>
              </wp:positionV>
              <wp:extent cx="2184400" cy="256540"/>
              <wp:effectExtent l="0" t="0" r="6350" b="10160"/>
              <wp:wrapNone/>
              <wp:docPr id="2" name="文本框 1"/>
              <wp:cNvGraphicFramePr/>
              <a:graphic xmlns:a="http://schemas.openxmlformats.org/drawingml/2006/main">
                <a:graphicData uri="http://schemas.microsoft.com/office/word/2010/wordprocessingShape">
                  <wps:wsp>
                    <wps:cNvSpPr txBox="1"/>
                    <wps:spPr>
                      <a:xfrm>
                        <a:off x="0" y="0"/>
                        <a:ext cx="2388235" cy="256540"/>
                      </a:xfrm>
                      <a:prstGeom prst="rect">
                        <a:avLst/>
                      </a:prstGeom>
                      <a:solidFill>
                        <a:srgbClr val="FFFFFF"/>
                      </a:solidFill>
                      <a:ln w="9525">
                        <a:noFill/>
                      </a:ln>
                      <a:effectLst/>
                    </wps:spPr>
                    <wps:txbx>
                      <w:txbxContent>
                        <w:p>
                          <w:r>
                            <w:rPr>
                              <w:rFonts w:hint="eastAsia"/>
                              <w:sz w:val="18"/>
                              <w:szCs w:val="18"/>
                            </w:rPr>
                            <w:t>ISC-B-I-19 管理体系审核记录表(03版)</w:t>
                          </w:r>
                        </w:p>
                      </w:txbxContent>
                    </wps:txbx>
                    <wps:bodyPr upright="1"/>
                  </wps:wsp>
                </a:graphicData>
              </a:graphic>
            </wp:anchor>
          </w:drawing>
        </mc:Choice>
        <mc:Fallback>
          <w:pict>
            <v:shape id="文本框 1" o:spid="_x0000_s1026" o:spt="202" type="#_x0000_t202" style="position:absolute;left:0pt;margin-left:554.75pt;margin-top:2.2pt;height:20.2pt;width:172pt;z-index:251661312;mso-width-relative:page;mso-height-relative:page;" fillcolor="#FFFFFF" filled="t" stroked="f" coordsize="21600,21600"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CEGquXWAAAACgEAAA8AAAAAAAAAAQAgAAAAIgAA&#10;AGRycy9kb3ducmV2LnhtbFBLAQIUABQAAAAIAIdO4kCPdkp10QEAAI4DAAAOAAAAAAAAAAEAIAAA&#10;ACUBAABkcnMvZTJvRG9jLnhtbFBLBQYAAAAABgAGAFkBAABoBQAAAAA=&#10;">
              <v:fill on="t" focussize="0,0"/>
              <v:stroke on="f"/>
              <v:imagedata o:title=""/>
              <o:lock v:ext="edit" aspectratio="f"/>
              <v:textbox>
                <w:txbxContent>
                  <w:p>
                    <w:r>
                      <w:rPr>
                        <w:rFonts w:hint="eastAsia"/>
                        <w:sz w:val="18"/>
                        <w:szCs w:val="18"/>
                      </w:rPr>
                      <w:t>ISC-B-I-19 管理体系审核记录表(03版)</w:t>
                    </w:r>
                  </w:p>
                </w:txbxContent>
              </v:textbox>
            </v:shape>
          </w:pict>
        </mc:Fallback>
      </mc:AlternateContent>
    </w:r>
    <w:r>
      <w:rPr>
        <w:rStyle w:val="14"/>
        <w:rFonts w:hint="default"/>
      </w:rPr>
      <w:t xml:space="preserve">        </w:t>
    </w:r>
    <w:r>
      <w:rPr>
        <w:rStyle w:val="14"/>
        <w:rFonts w:hint="default"/>
        <w:w w:val="90"/>
      </w:rPr>
      <w:t>Beijing International Standard united Certification Co.,Ltd.</w:t>
    </w:r>
    <w:r>
      <w:rPr>
        <w:rStyle w:val="14"/>
        <w:rFonts w:hint="default"/>
        <w:w w:val="90"/>
        <w:szCs w:val="21"/>
      </w:rPr>
      <w:t xml:space="preserve">  </w:t>
    </w:r>
    <w:r>
      <w:rPr>
        <w:rStyle w:val="14"/>
        <w:rFonts w:hint="default"/>
        <w:w w:val="90"/>
        <w:sz w:val="20"/>
      </w:rPr>
      <w:t xml:space="preserve"> </w:t>
    </w:r>
    <w:r>
      <w:rPr>
        <w:rStyle w:val="14"/>
        <w:rFonts w:hint="default"/>
        <w:w w:val="90"/>
      </w:rPr>
      <w:t xml:space="preserve">                   </w:t>
    </w:r>
  </w:p>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3B4"/>
    <w:rsid w:val="000237F6"/>
    <w:rsid w:val="0003373A"/>
    <w:rsid w:val="00100D57"/>
    <w:rsid w:val="001237BC"/>
    <w:rsid w:val="00143FB9"/>
    <w:rsid w:val="00171311"/>
    <w:rsid w:val="001A2D7F"/>
    <w:rsid w:val="001B2E24"/>
    <w:rsid w:val="00262E34"/>
    <w:rsid w:val="00337922"/>
    <w:rsid w:val="00340867"/>
    <w:rsid w:val="00380837"/>
    <w:rsid w:val="003A198A"/>
    <w:rsid w:val="00410914"/>
    <w:rsid w:val="00536930"/>
    <w:rsid w:val="00564E53"/>
    <w:rsid w:val="0059008D"/>
    <w:rsid w:val="005B65F5"/>
    <w:rsid w:val="005F252F"/>
    <w:rsid w:val="00632227"/>
    <w:rsid w:val="00644FE2"/>
    <w:rsid w:val="0067640C"/>
    <w:rsid w:val="006E678B"/>
    <w:rsid w:val="00770737"/>
    <w:rsid w:val="007757F3"/>
    <w:rsid w:val="007D725F"/>
    <w:rsid w:val="007E6AEB"/>
    <w:rsid w:val="008973EE"/>
    <w:rsid w:val="008A7C8B"/>
    <w:rsid w:val="008D37B4"/>
    <w:rsid w:val="009043C9"/>
    <w:rsid w:val="00933C04"/>
    <w:rsid w:val="00963112"/>
    <w:rsid w:val="00971600"/>
    <w:rsid w:val="009973B4"/>
    <w:rsid w:val="009C28C1"/>
    <w:rsid w:val="009F7EED"/>
    <w:rsid w:val="00A445B4"/>
    <w:rsid w:val="00A60FF4"/>
    <w:rsid w:val="00AC0073"/>
    <w:rsid w:val="00AE4CEF"/>
    <w:rsid w:val="00AF0AAB"/>
    <w:rsid w:val="00BF597E"/>
    <w:rsid w:val="00C179A0"/>
    <w:rsid w:val="00C31A33"/>
    <w:rsid w:val="00C51A36"/>
    <w:rsid w:val="00C55228"/>
    <w:rsid w:val="00CE315A"/>
    <w:rsid w:val="00D06F59"/>
    <w:rsid w:val="00D07914"/>
    <w:rsid w:val="00D712AB"/>
    <w:rsid w:val="00D8388C"/>
    <w:rsid w:val="00EA5349"/>
    <w:rsid w:val="00EB0164"/>
    <w:rsid w:val="00EC0BDA"/>
    <w:rsid w:val="00ED0F62"/>
    <w:rsid w:val="0320505F"/>
    <w:rsid w:val="038B12E8"/>
    <w:rsid w:val="04510B7D"/>
    <w:rsid w:val="06D64B44"/>
    <w:rsid w:val="08370D1F"/>
    <w:rsid w:val="08E60B71"/>
    <w:rsid w:val="0998237F"/>
    <w:rsid w:val="0A7E0BF2"/>
    <w:rsid w:val="0A8D103E"/>
    <w:rsid w:val="0ACE1CBC"/>
    <w:rsid w:val="0AF9100B"/>
    <w:rsid w:val="0B5F07F0"/>
    <w:rsid w:val="0C1869EC"/>
    <w:rsid w:val="0E891764"/>
    <w:rsid w:val="108219C2"/>
    <w:rsid w:val="108A0D67"/>
    <w:rsid w:val="11114BE3"/>
    <w:rsid w:val="117E71EC"/>
    <w:rsid w:val="136314F4"/>
    <w:rsid w:val="136B4A65"/>
    <w:rsid w:val="14090FDB"/>
    <w:rsid w:val="14257908"/>
    <w:rsid w:val="14DE6E71"/>
    <w:rsid w:val="15093029"/>
    <w:rsid w:val="15D53416"/>
    <w:rsid w:val="16975B5C"/>
    <w:rsid w:val="16F65808"/>
    <w:rsid w:val="16F701BD"/>
    <w:rsid w:val="193A6BC1"/>
    <w:rsid w:val="19BD6015"/>
    <w:rsid w:val="1B3E39A3"/>
    <w:rsid w:val="1B405BB2"/>
    <w:rsid w:val="1B9E43FA"/>
    <w:rsid w:val="1BEC3BF1"/>
    <w:rsid w:val="1D85741F"/>
    <w:rsid w:val="1E2452AC"/>
    <w:rsid w:val="1E847499"/>
    <w:rsid w:val="1F055D14"/>
    <w:rsid w:val="1F1F7BA7"/>
    <w:rsid w:val="1FD7676E"/>
    <w:rsid w:val="20645DBC"/>
    <w:rsid w:val="23557E88"/>
    <w:rsid w:val="274E61F5"/>
    <w:rsid w:val="2767752B"/>
    <w:rsid w:val="27DF7CD6"/>
    <w:rsid w:val="2C703113"/>
    <w:rsid w:val="2EE93C61"/>
    <w:rsid w:val="2FEB299B"/>
    <w:rsid w:val="32691255"/>
    <w:rsid w:val="32C11AD5"/>
    <w:rsid w:val="34041CDB"/>
    <w:rsid w:val="3438524B"/>
    <w:rsid w:val="34B32935"/>
    <w:rsid w:val="375F34D7"/>
    <w:rsid w:val="38DB3925"/>
    <w:rsid w:val="38F61C56"/>
    <w:rsid w:val="394F02D7"/>
    <w:rsid w:val="3AD826FA"/>
    <w:rsid w:val="3B1A0AD2"/>
    <w:rsid w:val="3DAD6D4F"/>
    <w:rsid w:val="40285D69"/>
    <w:rsid w:val="407B2BB8"/>
    <w:rsid w:val="41842DAE"/>
    <w:rsid w:val="441A63F5"/>
    <w:rsid w:val="456B1A4B"/>
    <w:rsid w:val="4592331F"/>
    <w:rsid w:val="465B32B5"/>
    <w:rsid w:val="466F33FE"/>
    <w:rsid w:val="48800E04"/>
    <w:rsid w:val="489C542B"/>
    <w:rsid w:val="48BF615B"/>
    <w:rsid w:val="494C5676"/>
    <w:rsid w:val="498C653B"/>
    <w:rsid w:val="4A5605B7"/>
    <w:rsid w:val="4ABE4B71"/>
    <w:rsid w:val="4BB26385"/>
    <w:rsid w:val="4D943D2E"/>
    <w:rsid w:val="4E2F1660"/>
    <w:rsid w:val="4E95570D"/>
    <w:rsid w:val="4EFF6994"/>
    <w:rsid w:val="50886C2D"/>
    <w:rsid w:val="52390AC9"/>
    <w:rsid w:val="56135BAC"/>
    <w:rsid w:val="56390FCA"/>
    <w:rsid w:val="563932E5"/>
    <w:rsid w:val="56AA2E90"/>
    <w:rsid w:val="57AB6651"/>
    <w:rsid w:val="58322D49"/>
    <w:rsid w:val="58445D7A"/>
    <w:rsid w:val="59A961B5"/>
    <w:rsid w:val="5A526EF4"/>
    <w:rsid w:val="5AAA27E4"/>
    <w:rsid w:val="5BCC76FD"/>
    <w:rsid w:val="5C1F288C"/>
    <w:rsid w:val="5DAB4DE2"/>
    <w:rsid w:val="5DAC4DCE"/>
    <w:rsid w:val="5DE504C5"/>
    <w:rsid w:val="5E1C6CEB"/>
    <w:rsid w:val="5E29761C"/>
    <w:rsid w:val="5EA12B9A"/>
    <w:rsid w:val="5ED74E33"/>
    <w:rsid w:val="65A34EED"/>
    <w:rsid w:val="65B47E80"/>
    <w:rsid w:val="661149EF"/>
    <w:rsid w:val="6612664F"/>
    <w:rsid w:val="66B7462A"/>
    <w:rsid w:val="67640CF7"/>
    <w:rsid w:val="6A23146B"/>
    <w:rsid w:val="6D53402F"/>
    <w:rsid w:val="700D5C7C"/>
    <w:rsid w:val="7333596B"/>
    <w:rsid w:val="73787C5E"/>
    <w:rsid w:val="73A00EA2"/>
    <w:rsid w:val="743806D0"/>
    <w:rsid w:val="75A8368A"/>
    <w:rsid w:val="761F43CB"/>
    <w:rsid w:val="76373F2B"/>
    <w:rsid w:val="77310DBF"/>
    <w:rsid w:val="78741EB2"/>
    <w:rsid w:val="79356B38"/>
    <w:rsid w:val="7A627DAC"/>
    <w:rsid w:val="7B5C61FD"/>
    <w:rsid w:val="7C4566E1"/>
    <w:rsid w:val="7EBA4CE7"/>
    <w:rsid w:val="7F033C2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Indent"/>
    <w:basedOn w:val="1"/>
    <w:qFormat/>
    <w:uiPriority w:val="0"/>
    <w:pPr>
      <w:ind w:firstLine="480" w:firstLineChars="200"/>
    </w:pPr>
    <w:rPr>
      <w:sz w:val="24"/>
    </w:rPr>
  </w:style>
  <w:style w:type="paragraph" w:styleId="4">
    <w:name w:val="Plain Text"/>
    <w:basedOn w:val="1"/>
    <w:unhideWhenUsed/>
    <w:qFormat/>
    <w:uiPriority w:val="0"/>
    <w:rPr>
      <w:rFonts w:ascii="宋体" w:hAnsi="Courier New"/>
    </w:rPr>
  </w:style>
  <w:style w:type="paragraph" w:styleId="5">
    <w:name w:val="Balloon Text"/>
    <w:basedOn w:val="1"/>
    <w:link w:val="13"/>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字符"/>
    <w:basedOn w:val="10"/>
    <w:link w:val="7"/>
    <w:qFormat/>
    <w:uiPriority w:val="99"/>
    <w:rPr>
      <w:rFonts w:ascii="Times New Roman" w:hAnsi="Times New Roman" w:eastAsia="宋体" w:cs="Times New Roman"/>
      <w:sz w:val="18"/>
      <w:szCs w:val="18"/>
    </w:rPr>
  </w:style>
  <w:style w:type="character" w:customStyle="1" w:styleId="12">
    <w:name w:val="页脚 字符"/>
    <w:basedOn w:val="10"/>
    <w:link w:val="6"/>
    <w:qFormat/>
    <w:uiPriority w:val="99"/>
    <w:rPr>
      <w:rFonts w:ascii="Times New Roman" w:hAnsi="Times New Roman" w:eastAsia="宋体" w:cs="Times New Roman"/>
      <w:sz w:val="18"/>
      <w:szCs w:val="18"/>
    </w:rPr>
  </w:style>
  <w:style w:type="character" w:customStyle="1" w:styleId="13">
    <w:name w:val="批注框文本 字符"/>
    <w:basedOn w:val="10"/>
    <w:link w:val="5"/>
    <w:semiHidden/>
    <w:qFormat/>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customStyle="1" w:styleId="15">
    <w:name w:val="_Style 2"/>
    <w:basedOn w:val="1"/>
    <w:qFormat/>
    <w:uiPriority w:val="34"/>
    <w:pPr>
      <w:ind w:firstLine="420" w:firstLineChars="200"/>
    </w:pPr>
    <w:rPr>
      <w:rFonts w:ascii="Calibri" w:hAnsi="Calibri"/>
      <w:szCs w:val="22"/>
    </w:rPr>
  </w:style>
  <w:style w:type="paragraph" w:customStyle="1" w:styleId="16">
    <w:name w:val="列出段落1"/>
    <w:basedOn w:val="1"/>
    <w:qFormat/>
    <w:uiPriority w:val="34"/>
    <w:pPr>
      <w:ind w:firstLine="420" w:firstLineChars="200"/>
    </w:pPr>
  </w:style>
  <w:style w:type="paragraph" w:styleId="1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564</Words>
  <Characters>3221</Characters>
  <Lines>26</Lines>
  <Paragraphs>7</Paragraphs>
  <TotalTime>1</TotalTime>
  <ScaleCrop>false</ScaleCrop>
  <LinksUpToDate>false</LinksUpToDate>
  <CharactersWithSpaces>3778</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叶子</cp:lastModifiedBy>
  <dcterms:modified xsi:type="dcterms:W3CDTF">2020-12-29T12:53:28Z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