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昊业电力器材有限公司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吉洁</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p>
    <w:p>
      <w:pPr>
        <w:spacing w:line="300" w:lineRule="auto"/>
        <w:rPr>
          <w:rFonts w:ascii="宋体"/>
          <w:b/>
          <w:color w:val="000000"/>
          <w:sz w:val="20"/>
          <w:szCs w:val="20"/>
          <w:lang w:val="de-DE"/>
        </w:rPr>
      </w:pPr>
      <w:bookmarkStart w:id="4" w:name="E勾选Add1"/>
      <w:r>
        <w:rPr>
          <w:rFonts w:hint="eastAsia" w:ascii="宋体" w:hAnsi="宋体"/>
          <w:b/>
          <w:color w:val="000000"/>
          <w:sz w:val="20"/>
          <w:szCs w:val="20"/>
          <w:lang w:val="de-DE"/>
        </w:rPr>
        <w:t>■</w:t>
      </w:r>
      <w:bookmarkEnd w:id="4"/>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idt ISO 14001:2015标准</w:t>
      </w:r>
    </w:p>
    <w:p>
      <w:pPr>
        <w:spacing w:line="300" w:lineRule="auto"/>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rPr>
          <w:rFonts w:hint="default" w:ascii="宋体" w:hAnsi="宋体" w:eastAsia="宋体"/>
          <w:b/>
          <w:color w:val="000000" w:themeColor="text1"/>
          <w:spacing w:val="-1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jc w:val="left"/>
        <w:rPr>
          <w:rFonts w:hint="eastAsia" w:ascii="宋体" w:hAnsi="宋体"/>
          <w:b/>
          <w:color w:val="000000" w:themeColor="text1"/>
          <w:spacing w:val="-10"/>
          <w:sz w:val="20"/>
          <w:szCs w:val="20"/>
        </w:rPr>
      </w:pPr>
    </w:p>
    <w:p>
      <w:pPr>
        <w:pStyle w:val="10"/>
        <w:numPr>
          <w:ilvl w:val="0"/>
          <w:numId w:val="1"/>
        </w:numPr>
        <w:ind w:left="-142" w:hanging="709" w:firstLineChars="0"/>
        <w:rPr>
          <w:rFonts w:hint="eastAsia" w:ascii="宋体" w:hAnsi="宋体" w:eastAsia="宋体" w:cs="Times New Roman"/>
          <w:b/>
          <w:color w:val="000000" w:themeColor="text1"/>
          <w:sz w:val="26"/>
          <w:szCs w:val="26"/>
        </w:rPr>
      </w:pPr>
      <w:r>
        <w:rPr>
          <w:rFonts w:hint="eastAsia" w:ascii="宋体" w:hAnsi="宋体" w:eastAsia="宋体" w:cs="Times New Roman"/>
          <w:b/>
          <w:color w:val="000000" w:themeColor="text1"/>
          <w:sz w:val="26"/>
          <w:szCs w:val="26"/>
        </w:rPr>
        <w:t>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昊业电力器材有限公司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both"/>
              <w:rPr>
                <w:rFonts w:ascii="宋体" w:hAnsi="宋体"/>
                <w:b/>
                <w:color w:val="000000" w:themeColor="text1"/>
                <w:sz w:val="20"/>
                <w:szCs w:val="20"/>
              </w:rPr>
            </w:pPr>
            <w:bookmarkStart w:id="7" w:name="注册地址"/>
            <w:r>
              <w:rPr>
                <w:rFonts w:ascii="宋体" w:hAnsi="宋体"/>
                <w:b/>
                <w:color w:val="000000" w:themeColor="text1"/>
                <w:sz w:val="20"/>
                <w:szCs w:val="20"/>
              </w:rPr>
              <w:t>河北省任丘市麻家坞镇刘家泊村</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062550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生产地址"/>
            <w:r>
              <w:t>任丘市创新大厦A座1601</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062550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纪荷叶</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18831786333</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何浩丹</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何浩丹</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纪荷叶</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线路铁附件、标识牌、电力金具、钢绞线的销售及相关的环境管理活动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2020-08-01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hint="eastAsia" w:ascii="宋体" w:hAnsi="宋体" w:eastAsia="宋体"/>
                <w:b/>
                <w:color w:val="000000" w:themeColor="text1"/>
                <w:spacing w:val="-20"/>
                <w:sz w:val="20"/>
                <w:szCs w:val="20"/>
                <w:lang w:eastAsia="zh-CN"/>
              </w:rPr>
            </w:pPr>
            <w:r>
              <w:rPr>
                <w:rFonts w:hint="eastAsia" w:ascii="宋体" w:hAnsi="宋体"/>
                <w:b/>
                <w:color w:val="000000" w:themeColor="text1"/>
                <w:spacing w:val="-20"/>
                <w:sz w:val="20"/>
                <w:szCs w:val="20"/>
                <w:lang w:eastAsia="zh-CN"/>
              </w:rPr>
              <w:t>无</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管理层</w:t>
            </w:r>
          </w:p>
        </w:tc>
        <w:tc>
          <w:tcPr>
            <w:tcW w:w="6804"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b/>
                <w:color w:val="000000" w:themeColor="text1"/>
                <w:spacing w:val="-20"/>
                <w:kern w:val="2"/>
                <w:sz w:val="20"/>
                <w:szCs w:val="20"/>
                <w:u w:val="single"/>
                <w:lang w:val="en-US" w:eastAsia="zh-CN" w:bidi="ar-SA"/>
              </w:rPr>
            </w:pPr>
            <w:r>
              <w:rPr>
                <w:rFonts w:hint="eastAsia"/>
                <w:sz w:val="21"/>
                <w:szCs w:val="21"/>
              </w:rPr>
              <w:t>4.1</w:t>
            </w:r>
            <w:r>
              <w:rPr>
                <w:rFonts w:hint="eastAsia"/>
                <w:sz w:val="21"/>
                <w:szCs w:val="21"/>
                <w:lang w:val="en-US" w:eastAsia="zh-CN"/>
              </w:rPr>
              <w:t>/4.2/4.3/4.4/5.1/5.2/5.3/6.1/6.2/7.1/9.1.1/9.3/10.1/10.3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供销部</w:t>
            </w:r>
          </w:p>
        </w:tc>
        <w:tc>
          <w:tcPr>
            <w:tcW w:w="6804"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b/>
                <w:color w:val="000000" w:themeColor="text1"/>
                <w:spacing w:val="-20"/>
                <w:kern w:val="2"/>
                <w:sz w:val="20"/>
                <w:szCs w:val="20"/>
                <w:u w:val="single"/>
                <w:lang w:val="en-US" w:eastAsia="zh-CN" w:bidi="ar-SA"/>
              </w:rPr>
            </w:pPr>
            <w:r>
              <w:rPr>
                <w:rFonts w:hint="eastAsia"/>
                <w:sz w:val="21"/>
                <w:szCs w:val="21"/>
                <w:lang w:val="en-US" w:eastAsia="zh-CN"/>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办公室</w:t>
            </w:r>
          </w:p>
        </w:tc>
        <w:tc>
          <w:tcPr>
            <w:tcW w:w="6804"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b/>
                <w:color w:val="000000" w:themeColor="text1"/>
                <w:spacing w:val="-20"/>
                <w:kern w:val="2"/>
                <w:sz w:val="20"/>
                <w:szCs w:val="20"/>
                <w:u w:val="single"/>
                <w:lang w:val="en-US" w:eastAsia="zh-CN" w:bidi="ar-SA"/>
              </w:rPr>
            </w:pPr>
            <w:r>
              <w:rPr>
                <w:rFonts w:hint="eastAsia"/>
                <w:sz w:val="21"/>
                <w:szCs w:val="21"/>
                <w:lang w:val="en-US" w:eastAsia="zh-CN"/>
              </w:rPr>
              <w:t>5.3/7.2/7.3/7.4/7.5/8.2/9.2/6.1.2/6.1.3/6.2/8.1/9.1.2/10.2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线路铁附件、标识牌、电力金具、钢绞线的销售</w:t>
            </w:r>
          </w:p>
        </w:tc>
        <w:tc>
          <w:tcPr>
            <w:tcW w:w="2519"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szCs w:val="21"/>
                <w:lang w:val="en-US" w:eastAsia="zh-CN"/>
              </w:rPr>
              <w:t>销售</w:t>
            </w:r>
          </w:p>
        </w:tc>
        <w:tc>
          <w:tcPr>
            <w:tcW w:w="1843"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w:t>
            </w:r>
          </w:p>
        </w:tc>
        <w:tc>
          <w:tcPr>
            <w:tcW w:w="3543"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FF0000"/>
                <w:sz w:val="20"/>
                <w:szCs w:val="20"/>
              </w:rPr>
            </w:pPr>
            <w:r>
              <w:rPr>
                <w:rFonts w:hint="eastAsia" w:ascii="宋体" w:hAnsi="宋体"/>
                <w:szCs w:val="21"/>
                <w:lang w:val="en-US" w:eastAsia="zh-CN"/>
              </w:rPr>
              <w:t>客户要求</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FF0000"/>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ascii="宋体" w:hAnsi="宋体"/>
          <w:szCs w:val="21"/>
          <w:lang w:val="en-US" w:eastAsia="zh-CN"/>
        </w:rPr>
        <w:t>2020</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bookmarkStart w:id="20" w:name="OLE_LINK1"/>
      <w:r>
        <w:rPr>
          <w:rFonts w:hint="eastAsia" w:ascii="宋体" w:hAnsi="宋体"/>
          <w:szCs w:val="21"/>
          <w:lang w:val="en-US" w:eastAsia="zh-CN"/>
        </w:rPr>
        <w:t>1</w:t>
      </w:r>
      <w:r>
        <w:rPr>
          <w:rFonts w:hint="eastAsia" w:ascii="宋体" w:hAnsi="宋体"/>
          <w:szCs w:val="21"/>
        </w:rPr>
        <w:t>日</w:t>
      </w:r>
      <w:bookmarkEnd w:id="20"/>
      <w:r>
        <w:rPr>
          <w:rFonts w:hint="eastAsia" w:ascii="宋体" w:hAnsi="宋体"/>
          <w:szCs w:val="21"/>
        </w:rPr>
        <w:t>至</w:t>
      </w:r>
      <w:r>
        <w:rPr>
          <w:rFonts w:hint="eastAsia" w:ascii="宋体" w:hAnsi="宋体"/>
          <w:szCs w:val="21"/>
          <w:lang w:val="en-US" w:eastAsia="zh-CN"/>
        </w:rPr>
        <w:t>2020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29</w:t>
      </w:r>
      <w:r>
        <w:rPr>
          <w:rFonts w:hint="eastAsia" w:ascii="宋体" w:hAnsi="宋体"/>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rFonts w:hint="eastAsia"/>
                <w:b/>
                <w:color w:val="000000" w:themeColor="text1"/>
                <w:sz w:val="20"/>
                <w:szCs w:val="20"/>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spacing w:line="240" w:lineRule="exact"/>
              <w:rPr>
                <w:rFonts w:hint="eastAsia"/>
                <w:b/>
                <w:color w:val="000000" w:themeColor="text1"/>
                <w:sz w:val="20"/>
                <w:szCs w:val="20"/>
              </w:rPr>
            </w:pPr>
            <w:r>
              <w:rPr>
                <w:rFonts w:hint="eastAsia"/>
              </w:rPr>
              <w:t>公司确定了与</w:t>
            </w:r>
            <w:r>
              <w:rPr>
                <w:rFonts w:hint="eastAsia"/>
                <w:lang w:eastAsia="zh-CN"/>
              </w:rPr>
              <w:t>环境</w:t>
            </w:r>
            <w:r>
              <w:rPr>
                <w:rFonts w:hint="eastAsia"/>
              </w:rPr>
              <w:t>管理体系有关的相关方包括股东、政府机构、顾客、</w:t>
            </w:r>
            <w:r>
              <w:rPr>
                <w:rFonts w:hint="eastAsia"/>
                <w:lang w:val="en-US" w:eastAsia="zh-CN"/>
              </w:rPr>
              <w:t>供方</w:t>
            </w:r>
            <w:r>
              <w:rPr>
                <w:rFonts w:hint="eastAsia"/>
              </w:rPr>
              <w:t>、内部员工等。相关方对企业的要求有：遵守国家的现行法律法规、保持有效的资质、</w:t>
            </w:r>
            <w:r>
              <w:rPr>
                <w:rFonts w:hint="eastAsia"/>
                <w:lang w:val="en-US" w:eastAsia="zh-CN"/>
              </w:rPr>
              <w:t>销售</w:t>
            </w:r>
            <w:r>
              <w:rPr>
                <w:rFonts w:hint="eastAsia"/>
              </w:rPr>
              <w:t>的产品节能环保，对环境无重大污染以及不断提高</w:t>
            </w:r>
            <w:r>
              <w:rPr>
                <w:rFonts w:hint="eastAsia"/>
                <w:lang w:val="en-US" w:eastAsia="zh-CN"/>
              </w:rPr>
              <w:t>相关方</w:t>
            </w:r>
            <w:r>
              <w:rPr>
                <w:rFonts w:hint="eastAsia"/>
              </w:rPr>
              <w:t>满意度等。</w:t>
            </w:r>
            <w:r>
              <w:rPr>
                <w:rFonts w:hint="eastAsia"/>
                <w:lang w:val="en-US" w:eastAsia="zh-CN"/>
              </w:rPr>
              <w:t>公司通过</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val="en-US" w:eastAsia="zh-CN"/>
              </w:rPr>
              <w:t>环境</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kinsoku/>
              <w:wordWrap/>
              <w:overflowPunct/>
              <w:topLinePunct w:val="0"/>
              <w:autoSpaceDE/>
              <w:autoSpaceDN/>
              <w:bidi w:val="0"/>
              <w:adjustRightInd/>
              <w:snapToGrid/>
              <w:spacing w:line="380" w:lineRule="exact"/>
              <w:textAlignment w:val="auto"/>
              <w:rPr>
                <w:rFonts w:hint="default" w:eastAsia="宋体"/>
                <w:lang w:val="en-US" w:eastAsia="zh-CN"/>
              </w:rPr>
            </w:pPr>
            <w:r>
              <w:rPr>
                <w:rFonts w:hint="eastAsia"/>
                <w:lang w:val="en-US" w:eastAsia="zh-CN"/>
              </w:rPr>
              <w:t xml:space="preserve">1. </w:t>
            </w:r>
            <w:r>
              <w:rPr>
                <w:rFonts w:hint="eastAsia" w:cs="宋体"/>
              </w:rPr>
              <w:t>管理方针：</w:t>
            </w:r>
            <w:r>
              <w:rPr>
                <w:rFonts w:hint="eastAsia" w:cs="宋体"/>
                <w:lang w:eastAsia="zh-CN"/>
              </w:rPr>
              <w:t>科学管理，遵守法规，预防污染，持续改进</w:t>
            </w:r>
            <w:r>
              <w:rPr>
                <w:rFonts w:hint="eastAsia" w:cs="宋体"/>
                <w:lang w:val="en-US" w:eastAsia="zh-CN"/>
              </w:rPr>
              <w:t>.</w:t>
            </w:r>
          </w:p>
          <w:p>
            <w:pPr>
              <w:keepNext w:val="0"/>
              <w:keepLines w:val="0"/>
              <w:pageBreakBefore w:val="0"/>
              <w:kinsoku/>
              <w:wordWrap/>
              <w:overflowPunct/>
              <w:topLinePunct w:val="0"/>
              <w:autoSpaceDE/>
              <w:autoSpaceDN/>
              <w:bidi w:val="0"/>
              <w:adjustRightInd/>
              <w:snapToGrid/>
              <w:spacing w:line="380" w:lineRule="exact"/>
              <w:textAlignment w:val="auto"/>
            </w:pPr>
            <w:r>
              <w:t xml:space="preserve">2. </w:t>
            </w:r>
            <w:r>
              <w:rPr>
                <w:rFonts w:hint="eastAsia" w:cs="宋体"/>
              </w:rPr>
              <w:t>管理方针与企业的经营宗旨相适应，协调；</w:t>
            </w:r>
          </w:p>
          <w:p>
            <w:pPr>
              <w:spacing w:line="240" w:lineRule="exact"/>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lang w:val="en-US" w:eastAsia="zh-CN"/>
              </w:rPr>
              <w:t>4</w:t>
            </w:r>
            <w:r>
              <w:rPr>
                <w:rFonts w:hint="eastAsia"/>
                <w:b/>
                <w:color w:val="000000" w:themeColor="text1"/>
                <w:sz w:val="20"/>
                <w:szCs w:val="20"/>
              </w:rPr>
              <w:t xml:space="preserve">.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lang w:val="en-US" w:eastAsia="zh-CN"/>
              </w:rPr>
              <w:t>5</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eastAsia="zh-CN"/>
              </w:rPr>
              <w:t>培训</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lang w:val="en-US" w:eastAsia="zh-CN"/>
              </w:rPr>
              <w:t>6</w:t>
            </w:r>
            <w:r>
              <w:rPr>
                <w:rFonts w:hint="eastAsia"/>
                <w:b/>
                <w:color w:val="000000" w:themeColor="text1"/>
                <w:szCs w:val="21"/>
              </w:rPr>
              <w:t xml:space="preserve">.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Times New Roman" w:hAnsi="Times New Roman" w:cs="宋体"/>
                <w:lang w:eastAsia="zh-CN"/>
              </w:rPr>
            </w:pPr>
            <w:r>
              <w:rPr>
                <w:rFonts w:hint="eastAsia" w:ascii="Times New Roman" w:hAnsi="Times New Roman" w:cs="宋体"/>
              </w:rPr>
              <w:t>公司环境目标</w:t>
            </w:r>
            <w:r>
              <w:rPr>
                <w:rFonts w:hint="eastAsia" w:cs="宋体"/>
                <w:lang w:eastAsia="zh-CN"/>
              </w:rPr>
              <w:t>：固体废物100%分类</w:t>
            </w:r>
            <w:r>
              <w:rPr>
                <w:rFonts w:hint="eastAsia" w:cs="宋体"/>
                <w:lang w:val="en-US" w:eastAsia="zh-CN"/>
              </w:rPr>
              <w:t>处置</w:t>
            </w:r>
            <w:r>
              <w:rPr>
                <w:rFonts w:hint="eastAsia" w:cs="宋体"/>
                <w:lang w:eastAsia="zh-CN"/>
              </w:rPr>
              <w:t>；杜绝火灾事故发生</w:t>
            </w:r>
            <w:r>
              <w:rPr>
                <w:rFonts w:hint="eastAsia" w:ascii="Times New Roman" w:hAnsi="Times New Roman" w:cs="宋体"/>
              </w:rPr>
              <w:t>。</w:t>
            </w:r>
          </w:p>
          <w:p>
            <w:pPr>
              <w:spacing w:line="240" w:lineRule="exact"/>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cs="宋体"/>
                <w:lang w:val="en-US" w:eastAsia="zh-CN"/>
              </w:rPr>
              <w:t>季度</w:t>
            </w:r>
            <w:r>
              <w:rPr>
                <w:rFonts w:hint="eastAsia" w:ascii="Times New Roman" w:hAnsi="Times New Roman" w:cs="宋体"/>
              </w:rPr>
              <w:t>考核一次，提供</w:t>
            </w:r>
            <w:r>
              <w:rPr>
                <w:rFonts w:hint="eastAsia" w:ascii="Times New Roman" w:hAnsi="Times New Roman" w:cs="宋体"/>
                <w:lang w:val="en-US" w:eastAsia="zh-CN"/>
              </w:rPr>
              <w:t>20</w:t>
            </w:r>
            <w:r>
              <w:rPr>
                <w:rFonts w:hint="eastAsia" w:cs="宋体"/>
                <w:lang w:val="en-US" w:eastAsia="zh-CN"/>
              </w:rPr>
              <w:t>20</w:t>
            </w:r>
            <w:r>
              <w:rPr>
                <w:rFonts w:hint="eastAsia" w:ascii="Times New Roman" w:hAnsi="Times New Roman" w:cs="宋体"/>
                <w:lang w:val="en-US" w:eastAsia="zh-CN"/>
              </w:rPr>
              <w:t>年</w:t>
            </w:r>
            <w:r>
              <w:rPr>
                <w:rFonts w:hint="eastAsia" w:cs="宋体"/>
                <w:lang w:val="en-US" w:eastAsia="zh-CN"/>
              </w:rPr>
              <w:t>2</w:t>
            </w:r>
            <w:r>
              <w:rPr>
                <w:rFonts w:hint="eastAsia" w:ascii="Times New Roman" w:hAnsi="Times New Roman" w:cs="宋体"/>
                <w:lang w:val="en-US" w:eastAsia="zh-CN"/>
              </w:rPr>
              <w:t>季度目标考核记录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lang w:val="en-US" w:eastAsia="zh-CN"/>
              </w:rPr>
              <w:t>7</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Times New Roman" w:hAnsi="Times New Roman" w:cs="宋体"/>
                <w:lang w:eastAsia="zh-CN"/>
              </w:rPr>
            </w:pPr>
            <w:r>
              <w:rPr>
                <w:rFonts w:hint="eastAsia" w:ascii="Times New Roman" w:hAnsi="Times New Roman" w:cs="宋体"/>
              </w:rPr>
              <w:t>公司环境目标</w:t>
            </w:r>
            <w:r>
              <w:rPr>
                <w:rFonts w:hint="eastAsia" w:cs="宋体"/>
                <w:lang w:eastAsia="zh-CN"/>
              </w:rPr>
              <w:t>：固体废物100%分类</w:t>
            </w:r>
            <w:r>
              <w:rPr>
                <w:rFonts w:hint="eastAsia" w:cs="宋体"/>
                <w:lang w:val="en-US" w:eastAsia="zh-CN"/>
              </w:rPr>
              <w:t>处置</w:t>
            </w:r>
            <w:r>
              <w:rPr>
                <w:rFonts w:hint="eastAsia" w:cs="宋体"/>
                <w:lang w:eastAsia="zh-CN"/>
              </w:rPr>
              <w:t>；杜绝火灾事故发生</w:t>
            </w:r>
            <w:r>
              <w:rPr>
                <w:rFonts w:hint="eastAsia" w:ascii="Times New Roman" w:hAnsi="Times New Roman" w:cs="宋体"/>
              </w:rPr>
              <w:t>。</w:t>
            </w:r>
          </w:p>
          <w:p>
            <w:pPr>
              <w:tabs>
                <w:tab w:val="left" w:pos="540"/>
              </w:tabs>
              <w:spacing w:line="240" w:lineRule="exact"/>
              <w:rPr>
                <w:rFonts w:ascii="宋体" w:hAnsi="宋体"/>
                <w:b/>
                <w:color w:val="000000" w:themeColor="text1"/>
                <w:sz w:val="20"/>
                <w:szCs w:val="20"/>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cs="宋体"/>
                <w:lang w:val="en-US" w:eastAsia="zh-CN"/>
              </w:rPr>
              <w:t>季度</w:t>
            </w:r>
            <w:r>
              <w:rPr>
                <w:rFonts w:hint="eastAsia" w:ascii="Times New Roman" w:hAnsi="Times New Roman" w:cs="宋体"/>
              </w:rPr>
              <w:t>考核一次，提供</w:t>
            </w:r>
            <w:r>
              <w:rPr>
                <w:rFonts w:hint="eastAsia" w:ascii="Times New Roman" w:hAnsi="Times New Roman" w:cs="宋体"/>
                <w:lang w:val="en-US" w:eastAsia="zh-CN"/>
              </w:rPr>
              <w:t>20</w:t>
            </w:r>
            <w:r>
              <w:rPr>
                <w:rFonts w:hint="eastAsia" w:cs="宋体"/>
                <w:lang w:val="en-US" w:eastAsia="zh-CN"/>
              </w:rPr>
              <w:t>20</w:t>
            </w:r>
            <w:r>
              <w:rPr>
                <w:rFonts w:hint="eastAsia" w:ascii="Times New Roman" w:hAnsi="Times New Roman" w:cs="宋体"/>
                <w:lang w:val="en-US" w:eastAsia="zh-CN"/>
              </w:rPr>
              <w:t>年</w:t>
            </w:r>
            <w:r>
              <w:rPr>
                <w:rFonts w:hint="eastAsia" w:cs="宋体"/>
                <w:lang w:val="en-US" w:eastAsia="zh-CN"/>
              </w:rPr>
              <w:t>2</w:t>
            </w:r>
            <w:r>
              <w:rPr>
                <w:rFonts w:hint="eastAsia" w:ascii="Times New Roman" w:hAnsi="Times New Roman" w:cs="宋体"/>
                <w:lang w:val="en-US" w:eastAsia="zh-CN"/>
              </w:rPr>
              <w:t>季度目标考核记录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sz w:val="21"/>
                <w:szCs w:val="21"/>
              </w:rPr>
              <w:t>公司共有员工</w:t>
            </w:r>
            <w:r>
              <w:rPr>
                <w:rFonts w:hint="eastAsia"/>
                <w:sz w:val="21"/>
                <w:szCs w:val="21"/>
                <w:lang w:val="en-US" w:eastAsia="zh-CN"/>
              </w:rPr>
              <w:t>25</w:t>
            </w:r>
            <w:r>
              <w:rPr>
                <w:rFonts w:hint="eastAsia"/>
                <w:sz w:val="21"/>
                <w:szCs w:val="21"/>
              </w:rPr>
              <w:t>人，其中管理人员</w:t>
            </w:r>
            <w:r>
              <w:rPr>
                <w:rFonts w:hint="eastAsia"/>
                <w:sz w:val="21"/>
                <w:szCs w:val="21"/>
                <w:lang w:val="en-US" w:eastAsia="zh-CN"/>
              </w:rPr>
              <w:t>3</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rPr>
              <w:t>等基础设施，主要设</w:t>
            </w:r>
            <w:r>
              <w:rPr>
                <w:rFonts w:hint="eastAsia"/>
                <w:sz w:val="21"/>
                <w:szCs w:val="21"/>
                <w:lang w:eastAsia="zh-CN"/>
              </w:rPr>
              <w:t>施：电脑、电话、一体机、汽车</w:t>
            </w:r>
            <w:r>
              <w:rPr>
                <w:rFonts w:hint="eastAsia"/>
                <w:sz w:val="21"/>
                <w:szCs w:val="21"/>
              </w:rPr>
              <w:t>，满足</w:t>
            </w:r>
            <w:r>
              <w:rPr>
                <w:rFonts w:hint="eastAsia"/>
                <w:sz w:val="21"/>
                <w:szCs w:val="21"/>
                <w:lang w:eastAsia="zh-CN"/>
              </w:rPr>
              <w:t>销售服务</w:t>
            </w:r>
            <w:r>
              <w:rPr>
                <w:rFonts w:hint="eastAsia"/>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r>
              <w:t>任丘市创新大厦A座1601</w:t>
            </w:r>
            <w:r>
              <w:rPr>
                <w:rFonts w:hint="eastAsia" w:cs="宋体"/>
                <w:sz w:val="21"/>
                <w:szCs w:val="21"/>
              </w:rPr>
              <w:t>，</w:t>
            </w:r>
            <w:r>
              <w:rPr>
                <w:rFonts w:hint="eastAsia"/>
                <w:sz w:val="21"/>
                <w:szCs w:val="21"/>
                <w:lang w:eastAsia="zh-CN"/>
              </w:rPr>
              <w:t>办公</w:t>
            </w:r>
            <w:r>
              <w:rPr>
                <w:rFonts w:hint="eastAsia"/>
                <w:color w:val="auto"/>
                <w:sz w:val="21"/>
                <w:szCs w:val="21"/>
                <w:lang w:eastAsia="zh-CN"/>
              </w:rPr>
              <w:t>区域面</w:t>
            </w:r>
            <w:r>
              <w:rPr>
                <w:rFonts w:hint="eastAsia"/>
                <w:color w:val="auto"/>
                <w:sz w:val="21"/>
                <w:szCs w:val="21"/>
                <w:lang w:val="en-US" w:eastAsia="zh-CN"/>
              </w:rPr>
              <w:t>200平米</w:t>
            </w:r>
            <w:r>
              <w:rPr>
                <w:rFonts w:hint="eastAsia"/>
                <w:sz w:val="21"/>
                <w:szCs w:val="21"/>
                <w:lang w:val="en-US" w:eastAsia="zh-CN"/>
              </w:rPr>
              <w:t>，</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
                <w:color w:val="000000" w:themeColor="text1"/>
                <w:sz w:val="20"/>
                <w:szCs w:val="20"/>
              </w:rPr>
            </w:pPr>
            <w:r>
              <w:rPr>
                <w:rFonts w:hint="eastAsia"/>
                <w:sz w:val="21"/>
                <w:szCs w:val="21"/>
              </w:rPr>
              <w:t>公司对法律法规及其他要求进行了获取，包括质量法、合同法、环境保护法、劳动法、消防法、环境空气质量标准、固体废弃物环境防治法、仓库防火安全管理规则、GB3095-2012《环境空气质量标准》、</w:t>
            </w:r>
            <w:r>
              <w:rPr>
                <w:rFonts w:hint="eastAsia"/>
                <w:sz w:val="21"/>
                <w:szCs w:val="21"/>
                <w:u w:val="none"/>
                <w:lang w:val="en-US" w:eastAsia="zh-CN"/>
              </w:rPr>
              <w:t>《</w:t>
            </w:r>
            <w:r>
              <w:rPr>
                <w:rFonts w:hint="eastAsia" w:ascii="宋体" w:hAnsi="宋体" w:eastAsia="宋体"/>
                <w:sz w:val="21"/>
                <w:szCs w:val="21"/>
                <w:u w:val="none"/>
              </w:rPr>
              <w:t>社会生活环境噪声排放标准</w:t>
            </w:r>
            <w:r>
              <w:rPr>
                <w:rFonts w:hint="eastAsia" w:ascii="宋体" w:hAnsi="宋体" w:eastAsia="宋体"/>
                <w:sz w:val="21"/>
                <w:szCs w:val="21"/>
                <w:u w:val="none"/>
                <w:lang w:eastAsia="zh-CN"/>
              </w:rPr>
              <w:t>》</w:t>
            </w:r>
            <w:r>
              <w:rPr>
                <w:rFonts w:hint="eastAsia" w:ascii="宋体" w:hAnsi="宋体"/>
                <w:sz w:val="21"/>
                <w:szCs w:val="21"/>
                <w:u w:val="none"/>
                <w:lang w:eastAsia="zh-CN"/>
              </w:rPr>
              <w:t>、</w:t>
            </w:r>
            <w:r>
              <w:rPr>
                <w:rFonts w:hint="eastAsia"/>
                <w:sz w:val="21"/>
                <w:szCs w:val="21"/>
              </w:rPr>
              <w:t>GB/T24001-2016《环境管理体系 要求及使用指南》等法规要求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r>
              <w:rPr>
                <w:rFonts w:hint="eastAsia" w:ascii="宋体" w:hAnsi="宋体" w:eastAsia="宋体"/>
                <w:sz w:val="21"/>
                <w:szCs w:val="21"/>
                <w:u w:val="none"/>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keepNext w:val="0"/>
              <w:keepLines w:val="0"/>
              <w:pageBreakBefore w:val="0"/>
              <w:numPr>
                <w:ilvl w:val="0"/>
                <w:numId w:val="4"/>
              </w:numPr>
              <w:kinsoku/>
              <w:wordWrap/>
              <w:overflowPunct/>
              <w:topLinePunct w:val="0"/>
              <w:autoSpaceDE/>
              <w:autoSpaceDN/>
              <w:bidi w:val="0"/>
              <w:adjustRightInd/>
              <w:snapToGrid/>
              <w:spacing w:line="380" w:lineRule="exact"/>
              <w:textAlignment w:val="auto"/>
              <w:rPr>
                <w:rFonts w:hint="eastAsia" w:eastAsia="宋体"/>
                <w:lang w:eastAsia="zh-CN"/>
              </w:rPr>
            </w:pPr>
            <w:r>
              <w:rPr>
                <w:rFonts w:hint="eastAsia" w:cs="宋体"/>
              </w:rPr>
              <w:t>管理方针：</w:t>
            </w:r>
            <w:r>
              <w:rPr>
                <w:rFonts w:hint="eastAsia" w:cs="宋体"/>
                <w:lang w:eastAsia="zh-CN"/>
              </w:rPr>
              <w:t>科学管理，遵守法规，预防污染，持续改进</w:t>
            </w:r>
          </w:p>
          <w:p>
            <w:pPr>
              <w:keepNext w:val="0"/>
              <w:keepLines w:val="0"/>
              <w:pageBreakBefore w:val="0"/>
              <w:kinsoku/>
              <w:wordWrap/>
              <w:overflowPunct/>
              <w:topLinePunct w:val="0"/>
              <w:autoSpaceDE/>
              <w:autoSpaceDN/>
              <w:bidi w:val="0"/>
              <w:adjustRightInd/>
              <w:snapToGrid/>
              <w:spacing w:line="380" w:lineRule="exact"/>
              <w:textAlignment w:val="auto"/>
            </w:pPr>
            <w:r>
              <w:t xml:space="preserve">2. </w:t>
            </w:r>
            <w:r>
              <w:rPr>
                <w:rFonts w:hint="eastAsia" w:cs="宋体"/>
              </w:rPr>
              <w:t>管理方针与企业的经营宗旨相适应，协调；</w:t>
            </w:r>
          </w:p>
          <w:p>
            <w:pPr>
              <w:spacing w:line="300" w:lineRule="exact"/>
              <w:ind w:left="1"/>
              <w:rPr>
                <w:rFonts w:hint="eastAsia"/>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keepNext w:val="0"/>
              <w:keepLines w:val="0"/>
              <w:pageBreakBefore w:val="0"/>
              <w:kinsoku/>
              <w:wordWrap/>
              <w:overflowPunct/>
              <w:topLinePunct w:val="0"/>
              <w:autoSpaceDE/>
              <w:autoSpaceDN/>
              <w:bidi w:val="0"/>
              <w:adjustRightInd/>
              <w:snapToGrid/>
              <w:spacing w:line="38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8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spacing w:line="240" w:lineRule="exact"/>
              <w:rPr>
                <w:rFonts w:ascii="楷体_GB2312" w:eastAsia="楷体_GB2312"/>
                <w:b/>
                <w:color w:val="000000" w:themeColor="text1"/>
                <w:sz w:val="20"/>
                <w:szCs w:val="20"/>
              </w:rPr>
            </w:pP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szCs w:val="21"/>
              </w:rPr>
            </w:pPr>
            <w:r>
              <w:rPr>
                <w:rFonts w:hint="eastAsia" w:ascii="楷体_GB2312" w:eastAsia="楷体_GB2312"/>
                <w:b/>
                <w:color w:val="000000" w:themeColor="text1"/>
                <w:sz w:val="20"/>
                <w:szCs w:val="20"/>
              </w:rPr>
              <w:t>外部信息的接收、成文并答复的情况（E、S填写）：</w:t>
            </w:r>
            <w:r>
              <w:rPr>
                <w:rFonts w:hint="eastAsia" w:ascii="宋体" w:hAnsi="宋体"/>
                <w:szCs w:val="21"/>
              </w:rPr>
              <w:t>与上级主管部门的沟通，目前沟通都较为顺畅。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szCs w:val="21"/>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p>
          <w:p>
            <w:pPr>
              <w:spacing w:line="240" w:lineRule="exact"/>
              <w:rPr>
                <w:rFonts w:ascii="楷体_GB2312" w:eastAsia="楷体_GB2312"/>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lang w:val="en-US" w:eastAsia="zh-CN"/>
              </w:rPr>
              <w:t>3</w:t>
            </w:r>
            <w:r>
              <w:rPr>
                <w:rFonts w:hint="eastAsia"/>
                <w:b/>
                <w:color w:val="000000" w:themeColor="text1"/>
                <w:sz w:val="20"/>
                <w:szCs w:val="20"/>
              </w:rPr>
              <w:t xml:space="preserve">.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sz w:val="21"/>
                <w:szCs w:val="21"/>
              </w:rPr>
              <w:t>对于</w:t>
            </w:r>
            <w:r>
              <w:rPr>
                <w:rFonts w:hint="eastAsia"/>
                <w:sz w:val="21"/>
                <w:szCs w:val="21"/>
                <w:lang w:val="en-US" w:eastAsia="zh-CN"/>
              </w:rPr>
              <w:t>日常检查发现</w:t>
            </w:r>
            <w:r>
              <w:rPr>
                <w:rFonts w:hint="eastAsia"/>
                <w:sz w:val="21"/>
                <w:szCs w:val="21"/>
              </w:rPr>
              <w:t>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sz w:val="21"/>
                <w:szCs w:val="21"/>
                <w:lang w:val="en-GB"/>
              </w:rPr>
              <w:t>编制</w:t>
            </w:r>
            <w:r>
              <w:rPr>
                <w:rFonts w:hint="eastAsia"/>
                <w:sz w:val="21"/>
                <w:szCs w:val="21"/>
              </w:rPr>
              <w:t>运行控制程序，固体废弃物管理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w:t>
            </w:r>
            <w:r>
              <w:rPr>
                <w:rFonts w:hint="eastAsia"/>
                <w:sz w:val="21"/>
                <w:szCs w:val="21"/>
              </w:rPr>
              <w:t>查看办公区域干净整洁，</w:t>
            </w:r>
            <w:r>
              <w:rPr>
                <w:rFonts w:hint="eastAsia"/>
                <w:sz w:val="21"/>
                <w:szCs w:val="21"/>
                <w:lang w:val="en-US" w:eastAsia="zh-CN"/>
              </w:rPr>
              <w:t>配有灭火器</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lang w:val="en-US" w:eastAsia="zh-CN"/>
              </w:rPr>
              <w:t>5</w:t>
            </w:r>
            <w:r>
              <w:rPr>
                <w:rFonts w:hint="eastAsia"/>
                <w:b/>
                <w:color w:val="000000" w:themeColor="text1"/>
                <w:sz w:val="20"/>
                <w:szCs w:val="20"/>
              </w:rPr>
              <w:t xml:space="preserve">. 应急准备与相应活动的演练及对预案可行性的评价(当有规定时) </w:t>
            </w:r>
          </w:p>
          <w:p>
            <w:pPr>
              <w:spacing w:line="240" w:lineRule="exact"/>
              <w:rPr>
                <w:b/>
                <w:color w:val="000000" w:themeColor="text1"/>
                <w:spacing w:val="-4"/>
                <w:sz w:val="20"/>
                <w:szCs w:val="20"/>
              </w:rPr>
            </w:pPr>
            <w:r>
              <w:rPr>
                <w:rFonts w:hint="eastAsia"/>
                <w:sz w:val="21"/>
                <w:szCs w:val="21"/>
                <w:lang w:val="en-GB"/>
              </w:rPr>
              <w:t>编制应急准备和响应控制程序，识别的潜在意外紧急情况为火灾、触电等。编制了应急预案，组织了消防演练，提供了应急预案演练记录。对应急预案进行了评价，可行。</w:t>
            </w:r>
            <w:r>
              <w:rPr>
                <w:rFonts w:hint="eastAsia"/>
                <w:sz w:val="21"/>
                <w:szCs w:val="21"/>
                <w:lang w:val="en-US" w:eastAsia="zh-CN"/>
              </w:rPr>
              <w:t>办公室未</w:t>
            </w:r>
            <w:r>
              <w:rPr>
                <w:rFonts w:hint="eastAsia"/>
                <w:sz w:val="21"/>
                <w:szCs w:val="21"/>
              </w:rPr>
              <w:t>配置灭火器等消防设施</w:t>
            </w:r>
            <w:r>
              <w:rPr>
                <w:rFonts w:hint="eastAsia"/>
                <w:sz w:val="21"/>
                <w:szCs w:val="21"/>
                <w:lang w:eastAsia="zh-CN"/>
              </w:rPr>
              <w:t>，</w:t>
            </w:r>
            <w:r>
              <w:rPr>
                <w:rFonts w:hint="eastAsia"/>
                <w:sz w:val="21"/>
                <w:szCs w:val="21"/>
                <w:lang w:val="en-US" w:eastAsia="zh-CN"/>
              </w:rPr>
              <w:t>已开具不符合报告，要求限期整改</w:t>
            </w:r>
            <w:r>
              <w:rPr>
                <w:rFonts w:hint="eastAsia" w:ascii="宋体" w:hAnsi="宋体"/>
                <w:bCs/>
                <w:color w:val="auto"/>
                <w:sz w:val="21"/>
                <w:szCs w:val="21"/>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 xml:space="preserve">. 对特种设备的维护，检定; </w:t>
            </w:r>
          </w:p>
          <w:p>
            <w:pPr>
              <w:spacing w:line="240" w:lineRule="exact"/>
              <w:rPr>
                <w:b/>
                <w:color w:val="000000" w:themeColor="text1"/>
                <w:sz w:val="20"/>
                <w:szCs w:val="20"/>
              </w:rPr>
            </w:pPr>
          </w:p>
          <w:p>
            <w:pPr>
              <w:spacing w:line="240" w:lineRule="exact"/>
              <w:rPr>
                <w:rFonts w:hint="eastAsia" w:eastAsia="宋体"/>
                <w:b/>
                <w:color w:val="000000" w:themeColor="text1"/>
                <w:sz w:val="20"/>
                <w:szCs w:val="20"/>
                <w:lang w:eastAsia="zh-CN"/>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lang w:val="en-US" w:eastAsia="zh-CN"/>
              </w:rPr>
              <w:t>7</w:t>
            </w:r>
            <w:r>
              <w:rPr>
                <w:rFonts w:hint="eastAsia"/>
                <w:b/>
                <w:color w:val="000000" w:themeColor="text1"/>
                <w:sz w:val="20"/>
                <w:szCs w:val="20"/>
              </w:rPr>
              <w:t xml:space="preserve"> .对危险化学品销售、使用、储存、运输处置，规定的执行力度(必要时);</w:t>
            </w:r>
          </w:p>
          <w:p>
            <w:pPr>
              <w:spacing w:line="240" w:lineRule="exact"/>
              <w:rPr>
                <w:rFonts w:hint="eastAsia" w:eastAsia="宋体"/>
                <w:b/>
                <w:color w:val="000000" w:themeColor="text1"/>
                <w:sz w:val="20"/>
                <w:szCs w:val="20"/>
                <w:lang w:eastAsia="zh-CN"/>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auto"/>
                <w:szCs w:val="21"/>
              </w:rPr>
            </w:pPr>
            <w:r>
              <w:rPr>
                <w:rFonts w:hint="eastAsia"/>
                <w:b/>
                <w:color w:val="auto"/>
                <w:szCs w:val="21"/>
              </w:rPr>
              <w:t>(四)监视测量方面</w:t>
            </w:r>
          </w:p>
        </w:tc>
        <w:tc>
          <w:tcPr>
            <w:tcW w:w="9198" w:type="dxa"/>
          </w:tcPr>
          <w:p>
            <w:pPr>
              <w:spacing w:line="240" w:lineRule="exact"/>
              <w:ind w:left="100" w:hanging="100" w:hangingChars="50"/>
              <w:rPr>
                <w:b/>
                <w:color w:val="auto"/>
                <w:sz w:val="20"/>
                <w:szCs w:val="20"/>
              </w:rPr>
            </w:pPr>
            <w:r>
              <w:rPr>
                <w:rFonts w:hint="eastAsia"/>
                <w:b/>
                <w:color w:val="auto"/>
                <w:sz w:val="20"/>
                <w:szCs w:val="20"/>
              </w:rPr>
              <w:t>1. .对质量/环境/职业健康安全目标指标进行定期监测/检查情况</w:t>
            </w:r>
          </w:p>
          <w:p>
            <w:pPr>
              <w:spacing w:line="240" w:lineRule="exact"/>
              <w:ind w:firstLine="105" w:firstLineChars="50"/>
              <w:rPr>
                <w:b/>
                <w:color w:val="auto"/>
                <w:sz w:val="20"/>
                <w:szCs w:val="20"/>
              </w:rPr>
            </w:pPr>
            <w:r>
              <w:rPr>
                <w:rFonts w:hint="eastAsia"/>
                <w:color w:val="auto"/>
                <w:sz w:val="21"/>
                <w:szCs w:val="21"/>
              </w:rPr>
              <w:t>提供了文件化可分解的目标、指标，经查问分解到各部门，经查阅建立的管理目标符合标准要求，在方针的框架下展开，每</w:t>
            </w:r>
            <w:r>
              <w:rPr>
                <w:rFonts w:hint="eastAsia"/>
                <w:color w:val="auto"/>
                <w:sz w:val="21"/>
                <w:szCs w:val="21"/>
                <w:lang w:val="en-US" w:eastAsia="zh-CN"/>
              </w:rPr>
              <w:t>季度</w:t>
            </w:r>
            <w:r>
              <w:rPr>
                <w:rFonts w:hint="eastAsia"/>
                <w:color w:val="auto"/>
                <w:sz w:val="21"/>
                <w:szCs w:val="21"/>
              </w:rPr>
              <w:t>考核一次，查看20</w:t>
            </w:r>
            <w:r>
              <w:rPr>
                <w:rFonts w:hint="eastAsia"/>
                <w:color w:val="auto"/>
                <w:sz w:val="21"/>
                <w:szCs w:val="21"/>
                <w:lang w:val="en-US" w:eastAsia="zh-CN"/>
              </w:rPr>
              <w:t>20</w:t>
            </w:r>
            <w:r>
              <w:rPr>
                <w:rFonts w:hint="eastAsia"/>
                <w:color w:val="auto"/>
                <w:sz w:val="21"/>
                <w:szCs w:val="21"/>
              </w:rPr>
              <w:t>年考核结果，经查目标完成。并制定了管理方案，经查已完成，符合要求</w:t>
            </w:r>
            <w:r>
              <w:rPr>
                <w:rFonts w:hint="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tcPr>
          <w:p>
            <w:pPr>
              <w:numPr>
                <w:ilvl w:val="0"/>
                <w:numId w:val="5"/>
              </w:numPr>
              <w:spacing w:line="240" w:lineRule="exact"/>
              <w:ind w:left="100" w:hanging="100" w:hangingChars="50"/>
              <w:rPr>
                <w:rFonts w:hint="eastAsia"/>
                <w:b/>
                <w:color w:val="auto"/>
                <w:sz w:val="20"/>
                <w:szCs w:val="20"/>
              </w:rPr>
            </w:pPr>
            <w:r>
              <w:rPr>
                <w:rFonts w:hint="eastAsia"/>
                <w:b/>
                <w:color w:val="auto"/>
                <w:sz w:val="20"/>
                <w:szCs w:val="20"/>
              </w:rPr>
              <w:t>顾客满意</w:t>
            </w:r>
          </w:p>
          <w:p>
            <w:pPr>
              <w:numPr>
                <w:numId w:val="0"/>
              </w:numPr>
              <w:spacing w:line="240" w:lineRule="exact"/>
              <w:rPr>
                <w:rFonts w:hint="default"/>
                <w:color w:val="auto"/>
                <w:sz w:val="21"/>
                <w:szCs w:val="21"/>
                <w:lang w:val="en-US" w:eastAsia="zh-CN"/>
              </w:rPr>
            </w:pPr>
            <w:r>
              <w:rPr>
                <w:rFonts w:hint="eastAsia"/>
                <w:b/>
                <w:color w:val="auto"/>
                <w:sz w:val="20"/>
                <w:szCs w:val="20"/>
                <w:lang w:val="en-US" w:eastAsia="zh-CN"/>
              </w:rPr>
              <w:t xml:space="preserve">  </w:t>
            </w:r>
            <w:r>
              <w:rPr>
                <w:rFonts w:hint="eastAsia"/>
                <w:color w:val="auto"/>
                <w:sz w:val="21"/>
                <w:szCs w:val="21"/>
                <w:lang w:val="en-US" w:eastAsia="zh-CN"/>
              </w:rPr>
              <w:t>不涉及</w:t>
            </w:r>
          </w:p>
          <w:p>
            <w:pPr>
              <w:numPr>
                <w:numId w:val="0"/>
              </w:numPr>
              <w:spacing w:line="240" w:lineRule="exact"/>
              <w:ind w:leftChars="-50"/>
              <w:rPr>
                <w:rFonts w:hint="eastAsia"/>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sz w:val="21"/>
                <w:szCs w:val="21"/>
              </w:rPr>
              <w:t>按照策划的安排于</w:t>
            </w:r>
            <w:r>
              <w:t>20</w:t>
            </w:r>
            <w:r>
              <w:rPr>
                <w:rFonts w:hint="eastAsia"/>
                <w:lang w:val="en-US" w:eastAsia="zh-CN"/>
              </w:rPr>
              <w:t>20年11月10日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sz w:val="21"/>
                <w:szCs w:val="21"/>
              </w:rPr>
              <w:t>按照策划的安排于</w:t>
            </w:r>
            <w:r>
              <w:t>20</w:t>
            </w:r>
            <w:r>
              <w:rPr>
                <w:rFonts w:hint="eastAsia"/>
                <w:lang w:val="en-US" w:eastAsia="zh-CN"/>
              </w:rPr>
              <w:t>20</w:t>
            </w:r>
            <w:r>
              <w:rPr>
                <w:rFonts w:hint="eastAsia" w:cs="宋体"/>
              </w:rPr>
              <w:t>年</w:t>
            </w:r>
            <w:r>
              <w:rPr>
                <w:rFonts w:hint="eastAsia" w:cs="宋体"/>
                <w:lang w:val="en-US" w:eastAsia="zh-CN"/>
              </w:rPr>
              <w:t>11</w:t>
            </w:r>
            <w:r>
              <w:rPr>
                <w:rFonts w:hint="eastAsia" w:cs="宋体"/>
              </w:rPr>
              <w:t>月</w:t>
            </w:r>
            <w:r>
              <w:rPr>
                <w:rFonts w:hint="eastAsia"/>
                <w:lang w:val="en-US" w:eastAsia="zh-CN"/>
              </w:rPr>
              <w:t>20</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6"/>
              </w:numPr>
              <w:spacing w:line="240" w:lineRule="exac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ilvl w:val="0"/>
                <w:numId w:val="0"/>
              </w:numPr>
              <w:spacing w:line="240" w:lineRule="exact"/>
              <w:rPr>
                <w:rFonts w:hint="eastAsia" w:eastAsia="宋体"/>
                <w:b/>
                <w:color w:val="000000" w:themeColor="text1"/>
                <w:sz w:val="20"/>
                <w:szCs w:val="20"/>
                <w:lang w:eastAsia="zh-CN"/>
              </w:rPr>
            </w:pPr>
            <w:r>
              <w:rPr>
                <w:rFonts w:hint="eastAsia"/>
                <w:sz w:val="21"/>
                <w:szCs w:val="21"/>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eastAsia="zh-CN"/>
              </w:rPr>
            </w:pPr>
            <w:r>
              <w:rPr>
                <w:rFonts w:hint="eastAsia"/>
                <w:sz w:val="21"/>
                <w:szCs w:val="21"/>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已完成</w:t>
            </w:r>
            <w:r>
              <w:rPr>
                <w:rFonts w:hint="eastAsia"/>
                <w:sz w:val="21"/>
                <w:szCs w:val="21"/>
              </w:rPr>
              <w:t>。</w:t>
            </w:r>
            <w:r>
              <w:rPr>
                <w:rFonts w:hint="eastAsia"/>
                <w:sz w:val="21"/>
                <w:szCs w:val="21"/>
                <w:lang w:eastAsia="zh-CN"/>
              </w:rPr>
              <w:t>纠正措施尚可。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eastAsia="zh-CN"/>
              </w:rPr>
            </w:pPr>
            <w:r>
              <w:rPr>
                <w:rFonts w:hint="eastAsia"/>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eastAsia="zh-CN"/>
              </w:rPr>
            </w:pPr>
            <w:r>
              <w:rPr>
                <w:rFonts w:hint="eastAsia"/>
                <w:sz w:val="21"/>
                <w:szCs w:val="21"/>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7"/>
              </w:numPr>
              <w:spacing w:line="240" w:lineRule="exact"/>
              <w:rPr>
                <w:rFonts w:hint="eastAsia"/>
                <w:b/>
                <w:color w:val="000000" w:themeColor="text1"/>
                <w:sz w:val="20"/>
                <w:szCs w:val="20"/>
              </w:rPr>
            </w:pPr>
            <w:r>
              <w:rPr>
                <w:rFonts w:hint="eastAsia"/>
                <w:b/>
                <w:color w:val="000000" w:themeColor="text1"/>
                <w:sz w:val="20"/>
                <w:szCs w:val="20"/>
              </w:rPr>
              <w:t>创新情况</w:t>
            </w:r>
          </w:p>
          <w:p>
            <w:pPr>
              <w:numPr>
                <w:ilvl w:val="0"/>
                <w:numId w:val="0"/>
              </w:numPr>
              <w:spacing w:line="240" w:lineRule="exact"/>
              <w:rPr>
                <w:rFonts w:hint="eastAsia" w:eastAsia="宋体"/>
                <w:b/>
                <w:color w:val="000000" w:themeColor="text1"/>
                <w:sz w:val="20"/>
                <w:szCs w:val="20"/>
                <w:lang w:eastAsia="zh-CN"/>
              </w:rPr>
            </w:pPr>
            <w:r>
              <w:rPr>
                <w:rFonts w:hint="eastAsia"/>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w:t>
      </w:r>
      <w:r>
        <w:rPr>
          <w:rFonts w:hint="eastAsia"/>
          <w:b/>
          <w:color w:val="000000" w:themeColor="text1"/>
          <w:lang w:val="en-US" w:eastAsia="zh-CN"/>
        </w:rPr>
        <w:t xml:space="preserve"> 供销</w:t>
      </w:r>
      <w:r>
        <w:rPr>
          <w:rFonts w:hint="eastAsia"/>
          <w:b/>
          <w:color w:val="000000" w:themeColor="text1"/>
        </w:rPr>
        <w:t>部门</w:t>
      </w:r>
      <w:r>
        <w:rPr>
          <w:rFonts w:hint="eastAsia"/>
          <w:b/>
          <w:color w:val="000000" w:themeColor="text1"/>
          <w:lang w:val="en-US" w:eastAsia="zh-CN"/>
        </w:rPr>
        <w:t>8.1</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2"/>
                <w:szCs w:val="22"/>
              </w:rPr>
            </w:pP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sz w:val="21"/>
                <w:szCs w:val="21"/>
                <w:u w:val="single"/>
                <w:lang w:eastAsia="zh-CN"/>
              </w:rPr>
              <w:t>昊业电力器材有限公司</w:t>
            </w:r>
            <w:r>
              <w:rPr>
                <w:rFonts w:hint="eastAsia"/>
                <w:sz w:val="21"/>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lang w:eastAsia="zh-CN"/>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cs="宋体"/>
                <w:b/>
                <w:color w:val="auto"/>
                <w:sz w:val="21"/>
                <w:szCs w:val="21"/>
                <w:lang w:eastAsia="zh-CN"/>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lang w:val="en-US" w:eastAsia="zh-CN"/>
              </w:rPr>
            </w:pPr>
            <w:r>
              <w:rPr>
                <w:rFonts w:hint="eastAsia"/>
                <w:b/>
                <w:color w:val="000000" w:themeColor="text1"/>
                <w:spacing w:val="-10"/>
                <w:szCs w:val="21"/>
              </w:rPr>
              <w:sym w:font="Wingdings 2" w:char="0052"/>
            </w:r>
            <w:r>
              <w:rPr>
                <w:rFonts w:hint="eastAsia"/>
                <w:b/>
                <w:color w:val="000000" w:themeColor="text1"/>
              </w:rPr>
              <w:t>审核范围适宜，与申请范围一致</w:t>
            </w:r>
            <w:r>
              <w:rPr>
                <w:rFonts w:hint="eastAsia"/>
                <w:b/>
                <w:color w:val="000000" w:themeColor="text1"/>
                <w:lang w:val="en-US" w:eastAsia="zh-CN"/>
              </w:rPr>
              <w:t xml:space="preserve"> </w:t>
            </w:r>
          </w:p>
          <w:p>
            <w:pPr>
              <w:rPr>
                <w:rFonts w:hint="eastAsia" w:eastAsia="宋体"/>
                <w:b/>
                <w:color w:val="000000" w:themeColor="text1"/>
                <w:lang w:val="en-US" w:eastAsia="zh-CN"/>
              </w:rPr>
            </w:pPr>
            <w:r>
              <w:rPr>
                <w:rFonts w:hint="eastAsia" w:ascii="宋体" w:hAnsi="宋体"/>
                <w:szCs w:val="21"/>
              </w:rPr>
              <w:t>线路铁附件、标识牌、电力金具、钢绞线的销售</w:t>
            </w:r>
            <w:r>
              <w:rPr>
                <w:rFonts w:hint="eastAsia" w:ascii="宋体" w:hAnsi="宋体"/>
                <w:szCs w:val="21"/>
                <w:lang w:eastAsia="zh-CN"/>
              </w:rPr>
              <w:t>及相关环境管理活动。</w:t>
            </w:r>
          </w:p>
          <w:p>
            <w:pPr>
              <w:rPr>
                <w:rFonts w:hint="eastAsia"/>
                <w:b/>
                <w:color w:val="000000" w:themeColor="text1"/>
                <w:lang w:val="en-US" w:eastAsia="zh-CN"/>
              </w:rPr>
            </w:pP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r>
        <w:rPr>
          <w:rFonts w:hint="eastAsia" w:eastAsia="宋体"/>
          <w:b/>
          <w:color w:val="000000" w:themeColor="text1"/>
          <w:sz w:val="26"/>
          <w:szCs w:val="26"/>
          <w:lang w:eastAsia="zh-CN"/>
        </w:rPr>
        <w:drawing>
          <wp:inline distT="0" distB="0" distL="114300" distR="114300">
            <wp:extent cx="1076325" cy="219075"/>
            <wp:effectExtent l="0" t="0" r="9525" b="9525"/>
            <wp:docPr id="4" name="图片 4" descr="bb6a5c841a37020f1737749b4fa12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b6a5c841a37020f1737749b4fa126c"/>
                    <pic:cNvPicPr>
                      <a:picLocks noChangeAspect="1"/>
                    </pic:cNvPicPr>
                  </pic:nvPicPr>
                  <pic:blipFill>
                    <a:blip r:embed="rId6"/>
                    <a:stretch>
                      <a:fillRect/>
                    </a:stretch>
                  </pic:blipFill>
                  <pic:spPr>
                    <a:xfrm>
                      <a:off x="0" y="0"/>
                      <a:ext cx="1076325" cy="219075"/>
                    </a:xfrm>
                    <a:prstGeom prst="rect">
                      <a:avLst/>
                    </a:prstGeom>
                  </pic:spPr>
                </pic:pic>
              </a:graphicData>
            </a:graphic>
          </wp:inline>
        </w:drawing>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rFonts w:hint="eastAsia" w:eastAsia="宋体"/>
          <w:sz w:val="22"/>
          <w:szCs w:val="22"/>
          <w:lang w:eastAsia="zh-CN"/>
        </w:rPr>
      </w:pPr>
      <w:r>
        <w:rPr>
          <w:rFonts w:hint="eastAsia"/>
          <w:b/>
          <w:color w:val="000000" w:themeColor="text1"/>
          <w:sz w:val="26"/>
          <w:szCs w:val="26"/>
        </w:rPr>
        <w:t>审核组组员（签名）：</w:t>
      </w:r>
      <w:r>
        <w:rPr>
          <w:rFonts w:hint="eastAsia" w:eastAsia="宋体"/>
          <w:sz w:val="22"/>
          <w:szCs w:val="22"/>
          <w:lang w:eastAsia="zh-CN"/>
        </w:rPr>
        <w:drawing>
          <wp:inline distT="0" distB="0" distL="114300" distR="114300">
            <wp:extent cx="657225" cy="314325"/>
            <wp:effectExtent l="0" t="0" r="9525" b="9525"/>
            <wp:docPr id="8" name="图片 8" descr="da4a7edeca0cb808b54a6493f44b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a4a7edeca0cb808b54a6493f44b385"/>
                    <pic:cNvPicPr>
                      <a:picLocks noChangeAspect="1"/>
                    </pic:cNvPicPr>
                  </pic:nvPicPr>
                  <pic:blipFill>
                    <a:blip r:embed="rId7"/>
                    <a:stretch>
                      <a:fillRect/>
                    </a:stretch>
                  </pic:blipFill>
                  <pic:spPr>
                    <a:xfrm>
                      <a:off x="0" y="0"/>
                      <a:ext cx="657225" cy="314325"/>
                    </a:xfrm>
                    <a:prstGeom prst="rect">
                      <a:avLst/>
                    </a:prstGeom>
                  </pic:spPr>
                </pic:pic>
              </a:graphicData>
            </a:graphic>
          </wp:inline>
        </w:drawing>
      </w:r>
    </w:p>
    <w:p>
      <w:pPr>
        <w:snapToGrid w:val="0"/>
        <w:spacing w:after="156" w:afterLines="50" w:line="360" w:lineRule="auto"/>
        <w:ind w:left="151" w:leftChars="72" w:firstLine="2798" w:firstLineChars="1272"/>
        <w:rPr>
          <w:b/>
          <w:color w:val="000000" w:themeColor="text1"/>
          <w:sz w:val="16"/>
          <w:szCs w:val="16"/>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835660</wp:posOffset>
            </wp:positionH>
            <wp:positionV relativeFrom="paragraph">
              <wp:posOffset>8379460</wp:posOffset>
            </wp:positionV>
            <wp:extent cx="215900" cy="104140"/>
            <wp:effectExtent l="0" t="0" r="12700" b="10160"/>
            <wp:wrapNone/>
            <wp:docPr id="5" name="图片 5"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904151347"/>
                    <pic:cNvPicPr>
                      <a:picLocks noChangeAspect="1"/>
                    </pic:cNvPicPr>
                  </pic:nvPicPr>
                  <pic:blipFill>
                    <a:blip r:embed="rId8"/>
                    <a:stretch>
                      <a:fillRect/>
                    </a:stretch>
                  </pic:blipFill>
                  <pic:spPr>
                    <a:xfrm>
                      <a:off x="0" y="0"/>
                      <a:ext cx="215900" cy="104140"/>
                    </a:xfrm>
                    <a:prstGeom prst="rect">
                      <a:avLst/>
                    </a:prstGeom>
                  </pic:spPr>
                </pic:pic>
              </a:graphicData>
            </a:graphic>
          </wp:anchor>
        </w:drawing>
      </w:r>
      <w:r>
        <w:rPr>
          <w:rFonts w:hint="eastAsia"/>
          <w:b/>
          <w:color w:val="000000" w:themeColor="text1"/>
        </w:rPr>
        <w:t>日期</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29</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rPr>
          <w:rFonts w:hint="eastAsia"/>
          <w:b/>
          <w:color w:val="000000" w:themeColor="text1"/>
          <w:szCs w:val="21"/>
        </w:rPr>
        <w:drawing>
          <wp:inline distT="0" distB="0" distL="114300" distR="114300">
            <wp:extent cx="1075690" cy="218440"/>
            <wp:effectExtent l="0" t="0" r="10160" b="10160"/>
            <wp:docPr id="3" name="图片 3" descr="bb6a5c841a37020f1737749b4fa12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b6a5c841a37020f1737749b4fa126c"/>
                    <pic:cNvPicPr>
                      <a:picLocks noChangeAspect="1"/>
                    </pic:cNvPicPr>
                  </pic:nvPicPr>
                  <pic:blipFill>
                    <a:blip r:embed="rId6"/>
                    <a:stretch>
                      <a:fillRect/>
                    </a:stretch>
                  </pic:blipFill>
                  <pic:spPr>
                    <a:xfrm>
                      <a:off x="0" y="0"/>
                      <a:ext cx="1075690" cy="218440"/>
                    </a:xfrm>
                    <a:prstGeom prst="rect">
                      <a:avLst/>
                    </a:prstGeom>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 xml:space="preserve"> 年</w:t>
      </w:r>
      <w:r>
        <w:rPr>
          <w:rFonts w:hint="eastAsia"/>
          <w:b/>
          <w:color w:val="000000" w:themeColor="text1"/>
          <w:szCs w:val="21"/>
          <w:lang w:val="en-US" w:eastAsia="zh-CN"/>
        </w:rPr>
        <w:t>12</w:t>
      </w:r>
      <w:r>
        <w:rPr>
          <w:rFonts w:hint="eastAsia"/>
          <w:b/>
          <w:color w:val="000000" w:themeColor="text1"/>
          <w:szCs w:val="21"/>
        </w:rPr>
        <w:t>月</w:t>
      </w:r>
      <w:r>
        <w:rPr>
          <w:rFonts w:hint="eastAsia"/>
          <w:b/>
          <w:color w:val="000000" w:themeColor="text1"/>
          <w:szCs w:val="21"/>
          <w:lang w:val="en-US" w:eastAsia="zh-CN"/>
        </w:rPr>
        <w:t>29</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8"/>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8"/>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rFonts w:hint="eastAsia"/>
          <w:b/>
          <w:color w:val="000000" w:themeColor="text1"/>
          <w:sz w:val="26"/>
          <w:szCs w:val="26"/>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 xml:space="preserve">  1份</w:t>
      </w:r>
      <w:bookmarkStart w:id="22" w:name="_GoBack"/>
      <w:bookmarkEnd w:id="22"/>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FA9BBD"/>
    <w:multiLevelType w:val="singleLevel"/>
    <w:tmpl w:val="98FA9BBD"/>
    <w:lvl w:ilvl="0" w:tentative="0">
      <w:start w:val="2"/>
      <w:numFmt w:val="decimal"/>
      <w:suff w:val="nothing"/>
      <w:lvlText w:val="%1、"/>
      <w:lvlJc w:val="left"/>
    </w:lvl>
  </w:abstractNum>
  <w:abstractNum w:abstractNumId="1">
    <w:nsid w:val="CFA19A51"/>
    <w:multiLevelType w:val="singleLevel"/>
    <w:tmpl w:val="CFA19A51"/>
    <w:lvl w:ilvl="0" w:tentative="0">
      <w:start w:val="5"/>
      <w:numFmt w:val="decimal"/>
      <w:suff w:val="space"/>
      <w:lvlText w:val="%1."/>
      <w:lvlJc w:val="left"/>
    </w:lvl>
  </w:abstractNum>
  <w:abstractNum w:abstractNumId="2">
    <w:nsid w:val="11EEEEF9"/>
    <w:multiLevelType w:val="singleLevel"/>
    <w:tmpl w:val="11EEEEF9"/>
    <w:lvl w:ilvl="0" w:tentative="0">
      <w:start w:val="1"/>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E91249B"/>
    <w:multiLevelType w:val="singleLevel"/>
    <w:tmpl w:val="4E91249B"/>
    <w:lvl w:ilvl="0" w:tentative="0">
      <w:start w:val="2"/>
      <w:numFmt w:val="decimal"/>
      <w:lvlText w:val="%1."/>
      <w:lvlJc w:val="left"/>
      <w:pPr>
        <w:tabs>
          <w:tab w:val="left" w:pos="312"/>
        </w:tabs>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7">
    <w:nsid w:val="7F565D29"/>
    <w:multiLevelType w:val="singleLevel"/>
    <w:tmpl w:val="7F565D29"/>
    <w:lvl w:ilvl="0" w:tentative="0">
      <w:start w:val="4"/>
      <w:numFmt w:val="decimal"/>
      <w:lvlText w:val="%1."/>
      <w:lvlJc w:val="left"/>
      <w:pPr>
        <w:tabs>
          <w:tab w:val="left" w:pos="312"/>
        </w:tabs>
      </w:pPr>
    </w:lvl>
  </w:abstractNum>
  <w:num w:numId="1">
    <w:abstractNumId w:val="3"/>
  </w:num>
  <w:num w:numId="2">
    <w:abstractNumId w:val="0"/>
  </w:num>
  <w:num w:numId="3">
    <w:abstractNumId w:val="5"/>
  </w:num>
  <w:num w:numId="4">
    <w:abstractNumId w:val="2"/>
  </w:num>
  <w:num w:numId="5">
    <w:abstractNumId w:val="4"/>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FC7C91"/>
    <w:rsid w:val="2EA01A4C"/>
    <w:rsid w:val="33B44180"/>
    <w:rsid w:val="41925F01"/>
    <w:rsid w:val="4DAC70A2"/>
    <w:rsid w:val="50D547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uiPriority w:val="99"/>
    <w:rPr>
      <w:rFonts w:ascii="Times New Roman" w:hAnsi="Times New Roman" w:eastAsia="宋体" w:cs="Times New Roman"/>
      <w:sz w:val="18"/>
      <w:szCs w:val="18"/>
    </w:rPr>
  </w:style>
  <w:style w:type="character" w:customStyle="1" w:styleId="12">
    <w:name w:val="页脚 Char"/>
    <w:basedOn w:val="8"/>
    <w:link w:val="3"/>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2020-12-29T06:17:04Z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