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宝鸡天健工贸有限公司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10"/>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2018-N1EMS-1222792</w:t>
            </w:r>
          </w:p>
        </w:tc>
        <w:tc>
          <w:tcPr>
            <w:tcW w:w="1728" w:type="dxa"/>
            <w:gridSpan w:val="2"/>
            <w:vAlign w:val="center"/>
          </w:tcPr>
          <w:p>
            <w:pPr>
              <w:jc w:val="center"/>
              <w:rPr>
                <w:b/>
                <w:sz w:val="21"/>
                <w:szCs w:val="21"/>
              </w:rPr>
            </w:pPr>
            <w:r>
              <w:rPr>
                <w:b/>
                <w:sz w:val="21"/>
                <w:szCs w:val="21"/>
              </w:rPr>
              <w:t>22.03.02</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eastAsia="宋体"/>
          <w:b/>
          <w:sz w:val="21"/>
          <w:szCs w:val="21"/>
          <w:lang w:eastAsia="zh-CN"/>
        </w:rPr>
      </w:pPr>
      <w:r>
        <w:rPr>
          <w:rFonts w:hint="eastAsia"/>
          <w:b/>
          <w:sz w:val="21"/>
          <w:szCs w:val="21"/>
          <w:lang w:eastAsia="zh-CN"/>
        </w:rPr>
        <w:t>☑</w:t>
      </w:r>
      <w:r>
        <w:rPr>
          <w:rFonts w:hint="eastAsia"/>
          <w:b/>
          <w:sz w:val="21"/>
          <w:szCs w:val="21"/>
        </w:rPr>
        <w:t>保持认证注册资格：_</w:t>
      </w:r>
      <w:r>
        <w:rPr>
          <w:rFonts w:hint="eastAsia"/>
          <w:b w:val="0"/>
          <w:bCs/>
          <w:sz w:val="21"/>
          <w:szCs w:val="21"/>
          <w:u w:val="single"/>
        </w:rPr>
        <w:t>_</w:t>
      </w:r>
      <w:r>
        <w:rPr>
          <w:b w:val="0"/>
          <w:bCs/>
          <w:sz w:val="21"/>
          <w:szCs w:val="21"/>
          <w:u w:val="single"/>
        </w:rPr>
        <w:t>EMS</w:t>
      </w:r>
      <w:r>
        <w:rPr>
          <w:rFonts w:hint="eastAsia"/>
          <w:b/>
          <w:sz w:val="21"/>
          <w:szCs w:val="21"/>
          <w:lang w:val="en-US" w:eastAsia="zh-CN"/>
        </w:rPr>
        <w:t xml:space="preserve"> </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1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067"/>
        <w:gridCol w:w="1330"/>
        <w:gridCol w:w="1470"/>
        <w:gridCol w:w="1170"/>
        <w:gridCol w:w="1051"/>
        <w:gridCol w:w="159"/>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218" w:type="dxa"/>
            <w:gridSpan w:val="2"/>
            <w:vAlign w:val="center"/>
          </w:tcPr>
          <w:p>
            <w:pPr>
              <w:spacing w:line="260" w:lineRule="exact"/>
              <w:jc w:val="center"/>
              <w:rPr>
                <w:rFonts w:ascii="宋体"/>
                <w:b/>
                <w:color w:val="000000" w:themeColor="text1"/>
                <w:sz w:val="16"/>
                <w:szCs w:val="16"/>
              </w:rPr>
            </w:pPr>
            <w:r>
              <w:rPr>
                <w:rFonts w:hint="eastAsia" w:ascii="宋体" w:hAnsi="宋体"/>
                <w:b/>
                <w:color w:val="000000" w:themeColor="text1"/>
                <w:sz w:val="21"/>
              </w:rPr>
              <w:t>受审核方名称</w:t>
            </w:r>
          </w:p>
        </w:tc>
        <w:tc>
          <w:tcPr>
            <w:tcW w:w="3867" w:type="dxa"/>
            <w:gridSpan w:val="3"/>
            <w:vAlign w:val="center"/>
          </w:tcPr>
          <w:p>
            <w:pPr>
              <w:spacing w:line="260" w:lineRule="exact"/>
              <w:jc w:val="center"/>
              <w:rPr>
                <w:rFonts w:ascii="宋体"/>
                <w:b/>
                <w:color w:val="000000" w:themeColor="text1"/>
                <w:sz w:val="21"/>
              </w:rPr>
            </w:pPr>
            <w:bookmarkStart w:id="11" w:name="组织名称Add"/>
            <w:r>
              <w:rPr>
                <w:rFonts w:ascii="宋体"/>
                <w:b/>
                <w:color w:val="000000" w:themeColor="text1"/>
                <w:sz w:val="21"/>
              </w:rPr>
              <w:t>宝鸡天健工贸有限公司</w:t>
            </w:r>
            <w:bookmarkEnd w:id="11"/>
          </w:p>
        </w:tc>
        <w:tc>
          <w:tcPr>
            <w:tcW w:w="2221" w:type="dxa"/>
            <w:gridSpan w:val="2"/>
            <w:vAlign w:val="center"/>
          </w:tcPr>
          <w:p>
            <w:pPr>
              <w:spacing w:line="260" w:lineRule="exact"/>
              <w:jc w:val="center"/>
              <w:rPr>
                <w:rFonts w:ascii="宋体"/>
                <w:b/>
                <w:color w:val="000000" w:themeColor="text1"/>
                <w:sz w:val="21"/>
              </w:rPr>
            </w:pPr>
            <w:r>
              <w:rPr>
                <w:rFonts w:hint="eastAsia" w:ascii="宋体" w:hAnsi="宋体"/>
                <w:b/>
                <w:color w:val="000000" w:themeColor="text1"/>
                <w:sz w:val="21"/>
              </w:rPr>
              <w:t>组织人数及</w:t>
            </w:r>
          </w:p>
          <w:p>
            <w:pPr>
              <w:spacing w:line="200" w:lineRule="exact"/>
              <w:jc w:val="center"/>
              <w:rPr>
                <w:b/>
                <w:color w:val="000000" w:themeColor="text1"/>
                <w:spacing w:val="-20"/>
              </w:rPr>
            </w:pPr>
            <w:r>
              <w:rPr>
                <w:rFonts w:hint="eastAsia" w:ascii="宋体" w:hAnsi="宋体"/>
                <w:b/>
                <w:color w:val="000000" w:themeColor="text1"/>
                <w:sz w:val="21"/>
              </w:rPr>
              <w:t>变动情况核实</w:t>
            </w:r>
          </w:p>
        </w:tc>
        <w:tc>
          <w:tcPr>
            <w:tcW w:w="1500" w:type="dxa"/>
            <w:gridSpan w:val="2"/>
            <w:vAlign w:val="center"/>
          </w:tcPr>
          <w:p>
            <w:pPr>
              <w:spacing w:line="260" w:lineRule="exact"/>
              <w:ind w:firstLine="422" w:firstLineChars="200"/>
              <w:jc w:val="center"/>
              <w:rPr>
                <w:rFonts w:hint="default" w:ascii="宋体" w:eastAsia="宋体"/>
                <w:b/>
                <w:color w:val="000000" w:themeColor="text1"/>
                <w:sz w:val="21"/>
                <w:lang w:val="en-US" w:eastAsia="zh-CN"/>
              </w:rPr>
            </w:pPr>
            <w:r>
              <w:rPr>
                <w:rFonts w:hint="eastAsia" w:ascii="宋体"/>
                <w:b/>
                <w:color w:val="000000" w:themeColor="text1"/>
                <w:sz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3867" w:type="dxa"/>
            <w:gridSpan w:val="3"/>
          </w:tcPr>
          <w:p>
            <w:pPr>
              <w:rPr>
                <w:rFonts w:ascii="宋体"/>
                <w:b/>
                <w:sz w:val="21"/>
              </w:rPr>
            </w:pPr>
            <w:bookmarkStart w:id="12" w:name="注册地址"/>
            <w:r>
              <w:rPr>
                <w:rFonts w:ascii="宋体"/>
                <w:b/>
                <w:sz w:val="21"/>
              </w:rPr>
              <w:t>陕西省宝鸡市陈仓区阳平宏达工业园</w:t>
            </w:r>
            <w:bookmarkEnd w:id="12"/>
          </w:p>
        </w:tc>
        <w:tc>
          <w:tcPr>
            <w:tcW w:w="2221" w:type="dxa"/>
            <w:gridSpan w:val="2"/>
            <w:vMerge w:val="restart"/>
            <w:vAlign w:val="center"/>
          </w:tcPr>
          <w:p>
            <w:pPr>
              <w:jc w:val="center"/>
              <w:rPr>
                <w:rFonts w:ascii="宋体"/>
                <w:b/>
                <w:sz w:val="21"/>
              </w:rPr>
            </w:pPr>
            <w:r>
              <w:rPr>
                <w:rFonts w:hint="eastAsia" w:ascii="宋体" w:hAnsi="宋体"/>
                <w:b/>
                <w:sz w:val="21"/>
              </w:rPr>
              <w:t>邮编</w:t>
            </w:r>
          </w:p>
        </w:tc>
        <w:tc>
          <w:tcPr>
            <w:tcW w:w="1500" w:type="dxa"/>
            <w:gridSpan w:val="2"/>
          </w:tcPr>
          <w:p>
            <w:pPr>
              <w:rPr>
                <w:rFonts w:ascii="宋体"/>
                <w:b/>
                <w:sz w:val="21"/>
              </w:rPr>
            </w:pPr>
            <w:bookmarkStart w:id="13" w:name="注册邮编"/>
            <w:r>
              <w:rPr>
                <w:rFonts w:ascii="宋体"/>
                <w:b/>
                <w:sz w:val="21"/>
              </w:rPr>
              <w:t>721303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3867" w:type="dxa"/>
            <w:gridSpan w:val="3"/>
          </w:tcPr>
          <w:p>
            <w:pPr>
              <w:rPr>
                <w:rFonts w:ascii="宋体"/>
                <w:b/>
                <w:sz w:val="21"/>
              </w:rPr>
            </w:pPr>
            <w:bookmarkStart w:id="14" w:name="办公地址"/>
            <w:r>
              <w:rPr>
                <w:rFonts w:ascii="宋体"/>
                <w:b/>
                <w:sz w:val="21"/>
              </w:rPr>
              <w:t>陕西省宝鸡市陈仓区阳平宏达工业园</w:t>
            </w:r>
            <w:bookmarkEnd w:id="14"/>
          </w:p>
        </w:tc>
        <w:tc>
          <w:tcPr>
            <w:tcW w:w="2221" w:type="dxa"/>
            <w:gridSpan w:val="2"/>
            <w:vMerge w:val="continue"/>
            <w:vAlign w:val="center"/>
          </w:tcPr>
          <w:p>
            <w:pPr>
              <w:jc w:val="center"/>
              <w:rPr>
                <w:rFonts w:ascii="宋体"/>
                <w:b/>
                <w:sz w:val="21"/>
              </w:rPr>
            </w:pPr>
          </w:p>
        </w:tc>
        <w:tc>
          <w:tcPr>
            <w:tcW w:w="1500" w:type="dxa"/>
            <w:gridSpan w:val="2"/>
          </w:tcPr>
          <w:p>
            <w:pPr>
              <w:rPr>
                <w:rFonts w:ascii="宋体"/>
                <w:b/>
                <w:sz w:val="21"/>
              </w:rPr>
            </w:pPr>
            <w:bookmarkStart w:id="15" w:name="办公邮编"/>
            <w:r>
              <w:rPr>
                <w:rFonts w:ascii="宋体"/>
                <w:b/>
                <w:sz w:val="21"/>
              </w:rPr>
              <w:t>721303</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3867" w:type="dxa"/>
            <w:gridSpan w:val="3"/>
          </w:tcPr>
          <w:p>
            <w:pPr>
              <w:rPr>
                <w:rFonts w:ascii="宋体"/>
                <w:b/>
                <w:sz w:val="21"/>
              </w:rPr>
            </w:pPr>
            <w:bookmarkStart w:id="16" w:name="生产地址Add"/>
            <w:r>
              <w:rPr>
                <w:rFonts w:ascii="宋体"/>
                <w:b/>
                <w:sz w:val="21"/>
              </w:rPr>
              <w:t>陕西省宝鸡市陈仓区阳平宏达工业园</w:t>
            </w:r>
            <w:bookmarkEnd w:id="16"/>
          </w:p>
        </w:tc>
        <w:tc>
          <w:tcPr>
            <w:tcW w:w="2221" w:type="dxa"/>
            <w:gridSpan w:val="2"/>
            <w:vMerge w:val="continue"/>
            <w:vAlign w:val="center"/>
          </w:tcPr>
          <w:p>
            <w:pPr>
              <w:jc w:val="center"/>
              <w:rPr>
                <w:rFonts w:ascii="宋体"/>
                <w:b/>
                <w:sz w:val="21"/>
              </w:rPr>
            </w:pPr>
          </w:p>
        </w:tc>
        <w:tc>
          <w:tcPr>
            <w:tcW w:w="1500" w:type="dxa"/>
            <w:gridSpan w:val="2"/>
          </w:tcPr>
          <w:p>
            <w:pPr>
              <w:rPr>
                <w:rFonts w:ascii="宋体"/>
                <w:b/>
                <w:sz w:val="21"/>
              </w:rPr>
            </w:pPr>
            <w:bookmarkStart w:id="17" w:name="生产邮编"/>
            <w:r>
              <w:rPr>
                <w:rFonts w:ascii="宋体"/>
                <w:b/>
                <w:sz w:val="21"/>
              </w:rPr>
              <w:t>721303</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067" w:type="dxa"/>
          </w:tcPr>
          <w:p>
            <w:pPr>
              <w:rPr>
                <w:rFonts w:ascii="宋体"/>
                <w:b/>
                <w:sz w:val="21"/>
              </w:rPr>
            </w:pPr>
            <w:bookmarkStart w:id="18" w:name="联系人"/>
            <w:r>
              <w:rPr>
                <w:rFonts w:ascii="宋体"/>
                <w:b/>
                <w:sz w:val="21"/>
              </w:rPr>
              <w:t>马海岐</w:t>
            </w:r>
            <w:bookmarkEnd w:id="18"/>
          </w:p>
        </w:tc>
        <w:tc>
          <w:tcPr>
            <w:tcW w:w="1330" w:type="dxa"/>
            <w:vAlign w:val="center"/>
          </w:tcPr>
          <w:p>
            <w:pPr>
              <w:jc w:val="center"/>
              <w:rPr>
                <w:rFonts w:ascii="宋体"/>
                <w:b/>
                <w:sz w:val="21"/>
              </w:rPr>
            </w:pPr>
            <w:r>
              <w:rPr>
                <w:rFonts w:hint="eastAsia" w:ascii="宋体" w:hAnsi="宋体"/>
                <w:b/>
                <w:sz w:val="21"/>
              </w:rPr>
              <w:t>电话</w:t>
            </w:r>
            <w:r>
              <w:rPr>
                <w:b/>
                <w:sz w:val="16"/>
                <w:szCs w:val="16"/>
              </w:rPr>
              <w:t>.</w:t>
            </w:r>
          </w:p>
        </w:tc>
        <w:tc>
          <w:tcPr>
            <w:tcW w:w="1470" w:type="dxa"/>
            <w:vAlign w:val="center"/>
          </w:tcPr>
          <w:p>
            <w:pPr>
              <w:jc w:val="center"/>
              <w:rPr>
                <w:rFonts w:ascii="宋体"/>
                <w:b/>
                <w:sz w:val="21"/>
              </w:rPr>
            </w:pPr>
            <w:bookmarkStart w:id="19" w:name="联系人电话Add"/>
            <w:r>
              <w:rPr>
                <w:rFonts w:ascii="宋体"/>
                <w:b/>
                <w:sz w:val="21"/>
              </w:rPr>
              <w:t>13992700909</w:t>
            </w:r>
            <w:bookmarkEnd w:id="19"/>
          </w:p>
        </w:tc>
        <w:tc>
          <w:tcPr>
            <w:tcW w:w="2221" w:type="dxa"/>
            <w:gridSpan w:val="2"/>
            <w:vAlign w:val="center"/>
          </w:tcPr>
          <w:p>
            <w:pPr>
              <w:jc w:val="center"/>
              <w:rPr>
                <w:rFonts w:ascii="宋体"/>
                <w:b/>
                <w:sz w:val="21"/>
              </w:rPr>
            </w:pPr>
            <w:r>
              <w:rPr>
                <w:rFonts w:hint="eastAsia" w:ascii="宋体" w:hAnsi="宋体"/>
                <w:b/>
                <w:sz w:val="21"/>
              </w:rPr>
              <w:t>传真</w:t>
            </w:r>
          </w:p>
        </w:tc>
        <w:tc>
          <w:tcPr>
            <w:tcW w:w="1500" w:type="dxa"/>
            <w:gridSpan w:val="2"/>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067" w:type="dxa"/>
          </w:tcPr>
          <w:p>
            <w:pPr>
              <w:rPr>
                <w:rFonts w:ascii="宋体" w:hAnsi="宋体"/>
                <w:b/>
                <w:sz w:val="21"/>
                <w:szCs w:val="21"/>
              </w:rPr>
            </w:pPr>
            <w:bookmarkStart w:id="21" w:name="法人"/>
            <w:r>
              <w:rPr>
                <w:rFonts w:ascii="宋体" w:hAnsi="宋体"/>
                <w:b/>
                <w:sz w:val="21"/>
                <w:szCs w:val="21"/>
              </w:rPr>
              <w:t>马海岐</w:t>
            </w:r>
            <w:bookmarkEnd w:id="21"/>
          </w:p>
        </w:tc>
        <w:tc>
          <w:tcPr>
            <w:tcW w:w="1330" w:type="dxa"/>
            <w:vAlign w:val="center"/>
          </w:tcPr>
          <w:p>
            <w:pPr>
              <w:jc w:val="center"/>
              <w:rPr>
                <w:rFonts w:ascii="宋体" w:hAnsi="宋体"/>
                <w:b/>
                <w:sz w:val="21"/>
                <w:szCs w:val="21"/>
              </w:rPr>
            </w:pPr>
            <w:r>
              <w:rPr>
                <w:rFonts w:hint="eastAsia" w:ascii="宋体" w:hAnsi="宋体"/>
                <w:b/>
                <w:sz w:val="21"/>
                <w:szCs w:val="21"/>
              </w:rPr>
              <w:t>总经理</w:t>
            </w:r>
          </w:p>
        </w:tc>
        <w:tc>
          <w:tcPr>
            <w:tcW w:w="1470" w:type="dxa"/>
          </w:tcPr>
          <w:p>
            <w:pPr>
              <w:rPr>
                <w:rFonts w:ascii="宋体" w:hAnsi="宋体"/>
                <w:b/>
                <w:sz w:val="21"/>
                <w:szCs w:val="21"/>
              </w:rPr>
            </w:pPr>
          </w:p>
        </w:tc>
        <w:tc>
          <w:tcPr>
            <w:tcW w:w="2221" w:type="dxa"/>
            <w:gridSpan w:val="2"/>
            <w:vAlign w:val="center"/>
          </w:tcPr>
          <w:p>
            <w:pPr>
              <w:jc w:val="center"/>
              <w:rPr>
                <w:rFonts w:ascii="宋体" w:hAnsi="宋体"/>
                <w:b/>
                <w:sz w:val="21"/>
                <w:szCs w:val="21"/>
              </w:rPr>
            </w:pPr>
            <w:r>
              <w:rPr>
                <w:rFonts w:hint="eastAsia" w:ascii="宋体" w:hAnsi="宋体"/>
                <w:b/>
                <w:sz w:val="21"/>
                <w:szCs w:val="21"/>
              </w:rPr>
              <w:t>管理者代表</w:t>
            </w:r>
          </w:p>
        </w:tc>
        <w:tc>
          <w:tcPr>
            <w:tcW w:w="1500" w:type="dxa"/>
            <w:gridSpan w:val="2"/>
          </w:tcPr>
          <w:p>
            <w:pPr>
              <w:rPr>
                <w:rFonts w:ascii="宋体"/>
                <w:b/>
                <w:sz w:val="21"/>
              </w:rPr>
            </w:pPr>
            <w:bookmarkStart w:id="22" w:name="管理者代表"/>
            <w:r>
              <w:rPr>
                <w:rFonts w:ascii="宋体"/>
                <w:b/>
                <w:sz w:val="21"/>
              </w:rPr>
              <w:t>马海岐</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867" w:type="dxa"/>
            <w:gridSpan w:val="3"/>
            <w:vAlign w:val="center"/>
          </w:tcPr>
          <w:p>
            <w:pPr>
              <w:rPr>
                <w:rFonts w:ascii="宋体" w:hAnsi="宋体"/>
                <w:b/>
                <w:sz w:val="21"/>
                <w:szCs w:val="21"/>
              </w:rPr>
            </w:pPr>
            <w:bookmarkStart w:id="23" w:name="审核日期"/>
            <w:r>
              <w:rPr>
                <w:rFonts w:ascii="宋体" w:hAnsi="宋体"/>
                <w:b/>
                <w:sz w:val="21"/>
                <w:szCs w:val="21"/>
              </w:rPr>
              <w:t>2020年12月16日 下午至2020年12月17日 下午</w:t>
            </w:r>
            <w:bookmarkEnd w:id="23"/>
          </w:p>
        </w:tc>
        <w:tc>
          <w:tcPr>
            <w:tcW w:w="1170" w:type="dxa"/>
            <w:vAlign w:val="center"/>
          </w:tcPr>
          <w:p>
            <w:pPr>
              <w:rPr>
                <w:rFonts w:ascii="宋体" w:hAnsi="宋体"/>
                <w:b/>
                <w:sz w:val="21"/>
                <w:szCs w:val="21"/>
              </w:rPr>
            </w:pPr>
            <w:r>
              <w:rPr>
                <w:rFonts w:hint="eastAsia" w:ascii="宋体" w:hAnsi="宋体"/>
                <w:b/>
                <w:sz w:val="21"/>
                <w:szCs w:val="21"/>
              </w:rPr>
              <w:t>一体化审核</w:t>
            </w:r>
          </w:p>
        </w:tc>
        <w:tc>
          <w:tcPr>
            <w:tcW w:w="255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7"/>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bookmarkStart w:id="27" w:name="审核范围"/>
            <w:r>
              <w:rPr>
                <w:rFonts w:ascii="宋体" w:hAnsi="宋体"/>
                <w:b/>
                <w:color w:val="000000" w:themeColor="text1"/>
                <w:sz w:val="20"/>
                <w:szCs w:val="20"/>
              </w:rPr>
              <w:t>重型汽车变速箱壳体、离合器壳体的加工（冶炼、铸造除外）及销售。</w:t>
            </w:r>
            <w:bookmarkEnd w:id="27"/>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t>□否</w:t>
            </w:r>
          </w:p>
        </w:tc>
        <w:tc>
          <w:tcPr>
            <w:tcW w:w="7588" w:type="dxa"/>
            <w:gridSpan w:val="7"/>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067" w:type="dxa"/>
            <w:vAlign w:val="center"/>
          </w:tcPr>
          <w:p>
            <w:pPr>
              <w:spacing w:line="260" w:lineRule="exact"/>
              <w:jc w:val="center"/>
              <w:rPr>
                <w:rFonts w:ascii="宋体" w:hAnsi="宋体"/>
                <w:b/>
                <w:sz w:val="21"/>
                <w:szCs w:val="21"/>
              </w:rPr>
            </w:pPr>
            <w:bookmarkStart w:id="29" w:name="专业代码"/>
            <w:r>
              <w:rPr>
                <w:rFonts w:ascii="宋体" w:hAnsi="宋体"/>
                <w:b/>
                <w:sz w:val="21"/>
                <w:szCs w:val="21"/>
              </w:rPr>
              <w:t>22.03.02</w:t>
            </w:r>
            <w:bookmarkEnd w:id="29"/>
          </w:p>
        </w:tc>
        <w:tc>
          <w:tcPr>
            <w:tcW w:w="2800" w:type="dxa"/>
            <w:gridSpan w:val="2"/>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170" w:type="dxa"/>
            <w:vAlign w:val="center"/>
          </w:tcPr>
          <w:p>
            <w:pPr>
              <w:spacing w:line="260" w:lineRule="exact"/>
              <w:jc w:val="center"/>
              <w:rPr>
                <w:rFonts w:ascii="宋体" w:hAnsi="宋体"/>
                <w:b/>
                <w:sz w:val="21"/>
                <w:szCs w:val="21"/>
              </w:rPr>
            </w:pPr>
          </w:p>
        </w:tc>
        <w:tc>
          <w:tcPr>
            <w:tcW w:w="1210" w:type="dxa"/>
            <w:gridSpan w:val="2"/>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341" w:type="dxa"/>
            <w:vAlign w:val="center"/>
          </w:tcPr>
          <w:p>
            <w:pPr>
              <w:spacing w:line="260" w:lineRule="exact"/>
              <w:jc w:val="center"/>
              <w:rPr>
                <w:rFonts w:hint="eastAsia" w:ascii="宋体" w:eastAsia="宋体"/>
                <w:b/>
                <w:sz w:val="21"/>
                <w:lang w:eastAsia="zh-CN"/>
              </w:rPr>
            </w:pPr>
            <w:r>
              <w:rPr>
                <w:rFonts w:hint="eastAsia" w:ascii="宋体" w:hAnsi="宋体"/>
                <w:b/>
                <w:sz w:val="21"/>
                <w:szCs w:val="21"/>
                <w:lang w:val="en-US" w:eastAsia="zh-CN"/>
              </w:rPr>
              <w:t>2019</w:t>
            </w:r>
            <w:r>
              <w:rPr>
                <w:rFonts w:hint="eastAsia" w:ascii="宋体" w:hAnsi="宋体"/>
                <w:b/>
                <w:sz w:val="21"/>
                <w:szCs w:val="21"/>
                <w:lang w:eastAsia="zh-CN"/>
              </w:rPr>
              <w:t>.</w:t>
            </w:r>
            <w:r>
              <w:rPr>
                <w:rFonts w:hint="eastAsia" w:ascii="宋体" w:hAnsi="宋体"/>
                <w:b/>
                <w:sz w:val="21"/>
                <w:szCs w:val="21"/>
                <w:lang w:val="en-US" w:eastAsia="zh-CN"/>
              </w:rPr>
              <w:t>12</w:t>
            </w:r>
            <w:r>
              <w:rPr>
                <w:rFonts w:hint="eastAsia" w:ascii="宋体" w:hAnsi="宋体"/>
                <w:b/>
                <w:sz w:val="21"/>
                <w:szCs w:val="21"/>
              </w:rPr>
              <w:t>.</w:t>
            </w:r>
            <w:r>
              <w:rPr>
                <w:rFonts w:hint="eastAsia" w:ascii="宋体" w:hAnsi="宋体"/>
                <w:b/>
                <w:sz w:val="21"/>
                <w:szCs w:val="21"/>
                <w:lang w:val="en-US" w:eastAsia="zh-CN"/>
              </w:rPr>
              <w:t>10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360" w:lineRule="auto"/>
              <w:ind w:left="201" w:right="113" w:hanging="211" w:hangingChars="10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(一)策划的充分与合理性</w:t>
            </w: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1、组织及其环境的识别情况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rFonts w:hint="eastAsia" w:ascii="宋体" w:hAnsi="宋体" w:eastAsia="宋体" w:cs="宋体"/>
                <w:b/>
                <w:color w:val="000000"/>
                <w:sz w:val="21"/>
                <w:szCs w:val="21"/>
              </w:rPr>
            </w:pPr>
            <w:r>
              <w:rPr>
                <w:rFonts w:hint="eastAsia" w:ascii="宋体" w:hAnsi="宋体" w:eastAsia="宋体" w:cs="宋体"/>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360" w:lineRule="auto"/>
              <w:ind w:left="201" w:right="113" w:hanging="211" w:hangingChars="100"/>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sz w:val="21"/>
                <w:szCs w:val="21"/>
              </w:rPr>
              <w:t>2、相关方需求和期望识别情况</w:t>
            </w:r>
          </w:p>
          <w:p>
            <w:pPr>
              <w:tabs>
                <w:tab w:val="left" w:pos="180"/>
                <w:tab w:val="left" w:pos="360"/>
                <w:tab w:val="left" w:pos="1080"/>
                <w:tab w:val="center" w:pos="462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在公司运营过程中充分考虑相关方方面的期望或要求，已识别公司的相关方涉及到顾客、最终用户、业主、股东、银行、外部供应商、员工、法律法规监管机构等。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与公司高管交流，内外部相关方需求分析到位。口头交流。</w:t>
            </w:r>
          </w:p>
          <w:p>
            <w:pPr>
              <w:spacing w:line="360" w:lineRule="auto"/>
              <w:rPr>
                <w:rFonts w:hint="eastAsia" w:ascii="宋体" w:hAnsi="宋体" w:eastAsia="宋体" w:cs="宋体"/>
                <w:b/>
                <w:color w:val="000000"/>
                <w:sz w:val="21"/>
                <w:szCs w:val="21"/>
              </w:rPr>
            </w:pPr>
            <w:r>
              <w:rPr>
                <w:rFonts w:hint="eastAsia" w:ascii="宋体" w:hAnsi="宋体" w:eastAsia="宋体" w:cs="宋体"/>
                <w:sz w:val="21"/>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2" w:hRule="atLeast"/>
          <w:jc w:val="center"/>
        </w:trPr>
        <w:tc>
          <w:tcPr>
            <w:tcW w:w="720" w:type="dxa"/>
            <w:vMerge w:val="continue"/>
            <w:textDirection w:val="tbRlV"/>
            <w:vAlign w:val="center"/>
          </w:tcPr>
          <w:p>
            <w:pPr>
              <w:spacing w:line="360" w:lineRule="auto"/>
              <w:ind w:left="201" w:right="113" w:hanging="211" w:hangingChars="100"/>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3.</w:t>
            </w:r>
            <w:r>
              <w:rPr>
                <w:rFonts w:hint="eastAsia" w:ascii="宋体" w:hAnsi="宋体" w:eastAsia="宋体" w:cs="宋体"/>
                <w:b/>
                <w:color w:val="000000" w:themeColor="text1"/>
                <w:spacing w:val="-10"/>
                <w:sz w:val="21"/>
                <w:szCs w:val="21"/>
              </w:rPr>
              <w:t>□</w:t>
            </w:r>
            <w:r>
              <w:rPr>
                <w:rFonts w:hint="eastAsia" w:ascii="宋体" w:hAnsi="宋体" w:eastAsia="宋体" w:cs="宋体"/>
                <w:b/>
                <w:color w:val="000000"/>
                <w:sz w:val="21"/>
                <w:szCs w:val="21"/>
              </w:rPr>
              <w:t>质量/</w:t>
            </w:r>
            <w:r>
              <w:rPr>
                <w:rFonts w:hint="eastAsia" w:ascii="宋体" w:hAnsi="宋体" w:eastAsia="宋体" w:cs="宋体"/>
                <w:b/>
                <w:color w:val="000000"/>
                <w:spacing w:val="-10"/>
                <w:sz w:val="21"/>
                <w:szCs w:val="21"/>
              </w:rPr>
              <w:t>▇</w:t>
            </w:r>
            <w:r>
              <w:rPr>
                <w:rFonts w:hint="eastAsia" w:ascii="宋体" w:hAnsi="宋体" w:eastAsia="宋体" w:cs="宋体"/>
                <w:b/>
                <w:color w:val="000000"/>
                <w:sz w:val="21"/>
                <w:szCs w:val="21"/>
              </w:rPr>
              <w:t>环境/</w:t>
            </w:r>
            <w:r>
              <w:rPr>
                <w:rFonts w:hint="eastAsia" w:ascii="宋体" w:hAnsi="宋体" w:eastAsia="宋体" w:cs="宋体"/>
                <w:b/>
                <w:color w:val="000000" w:themeColor="text1"/>
                <w:spacing w:val="-10"/>
                <w:sz w:val="21"/>
                <w:szCs w:val="21"/>
              </w:rPr>
              <w:t>□</w:t>
            </w:r>
            <w:r>
              <w:rPr>
                <w:rFonts w:hint="eastAsia" w:ascii="宋体" w:hAnsi="宋体" w:eastAsia="宋体" w:cs="宋体"/>
                <w:b/>
                <w:color w:val="000000"/>
                <w:sz w:val="21"/>
                <w:szCs w:val="21"/>
              </w:rPr>
              <w:t>职业健康安全方针（组织方针的适宜性/持续适宜性、方针的传达及职工的理解等）</w:t>
            </w:r>
          </w:p>
          <w:p>
            <w:pPr>
              <w:spacing w:line="360" w:lineRule="auto"/>
              <w:rPr>
                <w:rFonts w:hint="eastAsia" w:ascii="宋体" w:hAnsi="宋体" w:eastAsia="宋体" w:cs="宋体"/>
                <w:sz w:val="21"/>
                <w:szCs w:val="21"/>
              </w:rPr>
            </w:pPr>
            <w:r>
              <w:rPr>
                <w:rFonts w:hint="eastAsia" w:ascii="宋体" w:hAnsi="宋体" w:eastAsia="宋体" w:cs="宋体"/>
                <w:sz w:val="21"/>
                <w:szCs w:val="21"/>
              </w:rPr>
              <w:t>公司的环境方针是：</w:t>
            </w:r>
          </w:p>
          <w:p>
            <w:pPr>
              <w:spacing w:line="360" w:lineRule="auto"/>
              <w:ind w:firstLine="750" w:firstLineChars="300"/>
              <w:rPr>
                <w:rFonts w:hint="eastAsia" w:ascii="宋体" w:hAnsi="宋体" w:eastAsia="宋体" w:cs="宋体"/>
                <w:spacing w:val="20"/>
                <w:sz w:val="21"/>
                <w:szCs w:val="21"/>
                <w:lang w:val="en-US" w:eastAsia="zh-CN"/>
              </w:rPr>
            </w:pPr>
            <w:r>
              <w:rPr>
                <w:rFonts w:hint="eastAsia" w:ascii="宋体" w:hAnsi="宋体" w:eastAsia="宋体" w:cs="宋体"/>
                <w:spacing w:val="20"/>
                <w:sz w:val="21"/>
                <w:szCs w:val="21"/>
                <w:lang w:val="en-US" w:eastAsia="zh-CN"/>
              </w:rPr>
              <w:t>让环保扎根此刻  用绿色昭示未来</w:t>
            </w:r>
          </w:p>
          <w:p>
            <w:pPr>
              <w:spacing w:line="360" w:lineRule="auto"/>
              <w:ind w:firstLine="308" w:firstLineChars="147"/>
              <w:rPr>
                <w:rFonts w:hint="eastAsia" w:ascii="宋体" w:hAnsi="宋体" w:eastAsia="宋体" w:cs="宋体"/>
                <w:b/>
                <w:color w:val="000000"/>
                <w:sz w:val="21"/>
                <w:szCs w:val="21"/>
              </w:rPr>
            </w:pPr>
            <w:r>
              <w:rPr>
                <w:rFonts w:hint="eastAsia" w:ascii="宋体" w:hAnsi="宋体" w:eastAsia="宋体" w:cs="宋体"/>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360" w:lineRule="auto"/>
              <w:ind w:left="201" w:right="113" w:hanging="211" w:hangingChars="100"/>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4、风险识别与控制策划（QMS）</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公司制定管理手册中，明确风险和机遇事件的识别方法/途径、风险和机遇事件的评估方式、制定主要风险和机遇事件的应对措施的要求、评价这些措施有效性的方法。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提供“风险与机遇评价与应对策划表”，按照生产、销售服务、采购、支持过程/部门对风险和机遇进行了评价识别，并制定应对措施。</w:t>
            </w:r>
          </w:p>
          <w:p>
            <w:pPr>
              <w:spacing w:line="360" w:lineRule="auto"/>
              <w:ind w:firstLine="420" w:firstLineChars="200"/>
              <w:rPr>
                <w:rFonts w:hint="eastAsia" w:ascii="宋体" w:hAnsi="宋体" w:eastAsia="宋体" w:cs="宋体"/>
                <w:b/>
                <w:color w:val="000000"/>
                <w:sz w:val="21"/>
                <w:szCs w:val="21"/>
              </w:rPr>
            </w:pPr>
            <w:r>
              <w:rPr>
                <w:rFonts w:hint="eastAsia" w:ascii="宋体" w:hAnsi="宋体" w:eastAsia="宋体" w:cs="宋体"/>
                <w:sz w:val="21"/>
                <w:szCs w:val="21"/>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5.QMS过程</w:t>
            </w:r>
          </w:p>
          <w:p>
            <w:pPr>
              <w:tabs>
                <w:tab w:val="left" w:pos="540"/>
              </w:tabs>
              <w:spacing w:line="240" w:lineRule="auto"/>
              <w:ind w:left="201" w:hanging="211" w:hangingChars="100"/>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质量管理体系过程有：</w:t>
            </w:r>
          </w:p>
          <w:p>
            <w:pPr>
              <w:tabs>
                <w:tab w:val="left" w:pos="540"/>
              </w:tabs>
              <w:spacing w:line="240" w:lineRule="auto"/>
              <w:ind w:left="201" w:hanging="211" w:hangingChars="100"/>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其中关键过程有</w:t>
            </w:r>
          </w:p>
          <w:p>
            <w:pPr>
              <w:tabs>
                <w:tab w:val="left" w:pos="540"/>
              </w:tabs>
              <w:spacing w:line="240" w:lineRule="auto"/>
              <w:ind w:left="201" w:hanging="211" w:hangingChars="100"/>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需要确认过程 ：</w:t>
            </w:r>
          </w:p>
          <w:p>
            <w:pPr>
              <w:tabs>
                <w:tab w:val="left" w:pos="540"/>
              </w:tabs>
              <w:spacing w:line="240" w:lineRule="auto"/>
              <w:ind w:left="210" w:hanging="210" w:hangingChars="100"/>
              <w:rPr>
                <w:rFonts w:hint="eastAsia" w:ascii="宋体" w:hAnsi="宋体" w:eastAsia="宋体" w:cs="宋体"/>
                <w:b/>
                <w:color w:val="000000"/>
                <w:sz w:val="21"/>
                <w:szCs w:val="21"/>
              </w:rPr>
            </w:pPr>
            <w:r>
              <w:rPr>
                <w:rFonts w:hint="eastAsia" w:ascii="宋体" w:hAnsi="宋体" w:eastAsia="宋体" w:cs="宋体"/>
                <w:sz w:val="21"/>
                <w:szCs w:val="21"/>
              </w:rPr>
              <w:pict>
                <v:shape id="_x0000_s2051" o:spid="_x0000_s2051" o:spt="32" type="#_x0000_t32" style="position:absolute;left:0pt;margin-left:73.15pt;margin-top:13.2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eastAsia="宋体" w:cs="宋体"/>
                <w:b/>
                <w:color w:val="000000"/>
                <w:sz w:val="21"/>
                <w:szCs w:val="21"/>
              </w:rPr>
              <w:t xml:space="preserve">不适用条款是 </w:t>
            </w:r>
            <w:r>
              <w:rPr>
                <w:rFonts w:hint="eastAsia" w:ascii="宋体" w:hAnsi="宋体" w:cs="宋体"/>
                <w:b/>
                <w:color w:val="000000"/>
                <w:sz w:val="21"/>
                <w:szCs w:val="21"/>
                <w:lang w:val="en-US" w:eastAsia="zh-CN"/>
              </w:rPr>
              <w:t xml:space="preserve">            </w:t>
            </w:r>
            <w:r>
              <w:rPr>
                <w:rFonts w:hint="eastAsia" w:ascii="宋体" w:hAnsi="宋体" w:eastAsia="宋体" w:cs="宋体"/>
                <w:b/>
                <w:color w:val="000000"/>
                <w:sz w:val="21"/>
                <w:szCs w:val="21"/>
              </w:rPr>
              <w:t xml:space="preserve">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themeColor="text1"/>
                <w:spacing w:val="-12"/>
                <w:sz w:val="21"/>
                <w:szCs w:val="21"/>
              </w:rPr>
            </w:pPr>
            <w:r>
              <w:rPr>
                <w:rFonts w:hint="eastAsia" w:ascii="宋体" w:hAnsi="宋体" w:eastAsia="宋体" w:cs="宋体"/>
                <w:b/>
                <w:color w:val="000000" w:themeColor="text1"/>
                <w:sz w:val="21"/>
                <w:szCs w:val="21"/>
              </w:rPr>
              <w:t xml:space="preserve">6. </w:t>
            </w:r>
            <w:r>
              <w:rPr>
                <w:rFonts w:hint="eastAsia" w:ascii="宋体" w:hAnsi="宋体" w:eastAsia="宋体" w:cs="宋体"/>
                <w:b/>
                <w:color w:val="000000" w:themeColor="text1"/>
                <w:spacing w:val="-12"/>
                <w:sz w:val="21"/>
                <w:szCs w:val="21"/>
              </w:rPr>
              <w:t>EMS环境因素/</w:t>
            </w:r>
          </w:p>
          <w:p>
            <w:pPr>
              <w:spacing w:line="360" w:lineRule="auto"/>
              <w:rPr>
                <w:rFonts w:hint="eastAsia" w:ascii="宋体" w:hAnsi="宋体" w:eastAsia="宋体" w:cs="宋体"/>
                <w:b/>
                <w:color w:val="000000" w:themeColor="text1"/>
                <w:spacing w:val="-8"/>
                <w:sz w:val="21"/>
                <w:szCs w:val="21"/>
              </w:rPr>
            </w:pPr>
            <w:r>
              <w:rPr>
                <w:rFonts w:hint="eastAsia" w:ascii="宋体" w:hAnsi="宋体" w:eastAsia="宋体" w:cs="宋体"/>
                <w:b/>
                <w:color w:val="000000" w:themeColor="text1"/>
                <w:sz w:val="21"/>
                <w:szCs w:val="21"/>
              </w:rPr>
              <w:t>（</w:t>
            </w:r>
            <w:r>
              <w:rPr>
                <w:rFonts w:hint="eastAsia" w:ascii="宋体" w:hAnsi="宋体" w:eastAsia="宋体" w:cs="宋体"/>
                <w:b/>
                <w:color w:val="000000" w:themeColor="text1"/>
                <w:spacing w:val="-8"/>
                <w:sz w:val="21"/>
                <w:szCs w:val="21"/>
              </w:rPr>
              <w:t>环境因素</w:t>
            </w:r>
            <w:r>
              <w:rPr>
                <w:rFonts w:hint="eastAsia" w:ascii="宋体" w:hAnsi="宋体" w:eastAsia="宋体" w:cs="宋体"/>
                <w:b/>
                <w:color w:val="000000" w:themeColor="text1"/>
                <w:sz w:val="21"/>
                <w:szCs w:val="21"/>
              </w:rPr>
              <w:t>辨识是否充分、重要环境因素评价合理性，</w:t>
            </w:r>
            <w:r>
              <w:rPr>
                <w:rFonts w:hint="eastAsia" w:ascii="宋体" w:hAnsi="宋体" w:eastAsia="宋体" w:cs="宋体"/>
                <w:b/>
                <w:color w:val="000000" w:themeColor="text1"/>
                <w:spacing w:val="-8"/>
                <w:sz w:val="21"/>
                <w:szCs w:val="21"/>
              </w:rPr>
              <w:t>以及环境因素动态变更的及时性等）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识别了办公、生产、采购、销售、质检等过程的环境因素，动态更新，评价出的重要环境因素包括：固体废弃物排放、火灾事故的发生、</w:t>
            </w:r>
            <w:r>
              <w:rPr>
                <w:rFonts w:hint="eastAsia" w:ascii="宋体" w:hAnsi="宋体" w:eastAsia="宋体" w:cs="宋体"/>
                <w:sz w:val="21"/>
                <w:szCs w:val="21"/>
                <w:lang w:val="en-US" w:eastAsia="zh-CN"/>
              </w:rPr>
              <w:t>能源和资源的消耗</w:t>
            </w:r>
            <w:r>
              <w:rPr>
                <w:rFonts w:hint="eastAsia" w:ascii="宋体" w:hAnsi="宋体" w:eastAsia="宋体" w:cs="宋体"/>
                <w:sz w:val="21"/>
                <w:szCs w:val="21"/>
              </w:rPr>
              <w:t>、噪声排放。</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在采购、销售、生产、质检、仓储、运输、交付、日常办公等过程能使用生命周期观点和方法识别环境因素并加以管理。</w:t>
            </w:r>
          </w:p>
          <w:p>
            <w:pPr>
              <w:pStyle w:val="4"/>
              <w:spacing w:line="360" w:lineRule="auto"/>
              <w:ind w:firstLine="420" w:firstLineChars="200"/>
              <w:rPr>
                <w:rFonts w:hint="eastAsia" w:ascii="宋体" w:hAnsi="宋体" w:eastAsia="宋体" w:cs="宋体"/>
                <w:b/>
                <w:color w:val="000000" w:themeColor="text1"/>
                <w:sz w:val="21"/>
                <w:szCs w:val="21"/>
              </w:rPr>
            </w:pPr>
            <w:r>
              <w:rPr>
                <w:rFonts w:hint="eastAsia" w:ascii="宋体" w:hAnsi="宋体" w:eastAsia="宋体" w:cs="宋体"/>
                <w:color w:val="000000" w:themeColor="text1"/>
                <w:sz w:val="2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themeColor="text1"/>
                <w:spacing w:val="-12"/>
                <w:sz w:val="21"/>
                <w:szCs w:val="21"/>
              </w:rPr>
            </w:pPr>
            <w:r>
              <w:rPr>
                <w:rFonts w:hint="eastAsia" w:ascii="宋体" w:hAnsi="宋体" w:eastAsia="宋体" w:cs="宋体"/>
                <w:b/>
                <w:color w:val="000000" w:themeColor="text1"/>
                <w:spacing w:val="-10"/>
                <w:sz w:val="21"/>
                <w:szCs w:val="21"/>
              </w:rPr>
              <w:t xml:space="preserve">7. </w:t>
            </w:r>
            <w:r>
              <w:rPr>
                <w:rFonts w:hint="eastAsia" w:ascii="宋体" w:hAnsi="宋体" w:eastAsia="宋体" w:cs="宋体"/>
                <w:b/>
                <w:color w:val="000000" w:themeColor="text1"/>
                <w:spacing w:val="-12"/>
                <w:sz w:val="21"/>
                <w:szCs w:val="21"/>
              </w:rPr>
              <w:t>OHSMS职业健康安全危险源</w:t>
            </w:r>
          </w:p>
          <w:p>
            <w:pPr>
              <w:pStyle w:val="4"/>
              <w:spacing w:line="360" w:lineRule="auto"/>
              <w:ind w:firstLine="422" w:firstLineChars="200"/>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w:t>
            </w:r>
            <w:r>
              <w:rPr>
                <w:rFonts w:hint="eastAsia" w:ascii="宋体" w:hAnsi="宋体" w:eastAsia="宋体" w:cs="宋体"/>
                <w:b/>
                <w:color w:val="000000" w:themeColor="text1"/>
                <w:spacing w:val="-8"/>
                <w:sz w:val="21"/>
                <w:szCs w:val="21"/>
              </w:rPr>
              <w:t>职业健康安全危险源</w:t>
            </w:r>
            <w:r>
              <w:rPr>
                <w:rFonts w:hint="eastAsia" w:ascii="宋体" w:hAnsi="宋体" w:eastAsia="宋体" w:cs="宋体"/>
                <w:b/>
                <w:color w:val="000000" w:themeColor="text1"/>
                <w:sz w:val="21"/>
                <w:szCs w:val="21"/>
              </w:rPr>
              <w:t>辨识是否充分、风险评价合理性，</w:t>
            </w:r>
            <w:r>
              <w:rPr>
                <w:rFonts w:hint="eastAsia" w:ascii="宋体" w:hAnsi="宋体" w:eastAsia="宋体" w:cs="宋体"/>
                <w:b/>
                <w:color w:val="000000" w:themeColor="text1"/>
                <w:spacing w:val="-8"/>
                <w:sz w:val="21"/>
                <w:szCs w:val="21"/>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4. </w:t>
            </w:r>
            <w:r>
              <w:rPr>
                <w:rFonts w:hint="eastAsia" w:ascii="宋体" w:hAnsi="宋体" w:eastAsia="宋体" w:cs="宋体"/>
                <w:b/>
                <w:color w:val="000000"/>
                <w:spacing w:val="-4"/>
                <w:sz w:val="21"/>
                <w:szCs w:val="21"/>
              </w:rPr>
              <w:t>法律法规及其他要求</w:t>
            </w:r>
          </w:p>
          <w:p>
            <w:pPr>
              <w:pStyle w:val="17"/>
              <w:numPr>
                <w:ilvl w:val="0"/>
                <w:numId w:val="0"/>
              </w:numPr>
              <w:tabs>
                <w:tab w:val="left" w:pos="540"/>
              </w:tabs>
              <w:spacing w:line="360" w:lineRule="auto"/>
              <w:ind w:leftChars="0"/>
              <w:rPr>
                <w:rFonts w:hint="eastAsia" w:ascii="宋体" w:hAnsi="宋体" w:eastAsia="宋体" w:cs="宋体"/>
                <w:b/>
                <w:color w:val="000000"/>
                <w:sz w:val="21"/>
                <w:szCs w:val="21"/>
              </w:rPr>
            </w:pPr>
            <w:r>
              <w:rPr>
                <w:rFonts w:hint="eastAsia" w:ascii="宋体" w:hAnsi="宋体" w:cs="宋体"/>
                <w:b/>
                <w:color w:val="000000"/>
                <w:sz w:val="21"/>
                <w:szCs w:val="21"/>
                <w:lang w:val="en-US" w:eastAsia="zh-CN"/>
              </w:rPr>
              <w:t>(1)</w:t>
            </w:r>
            <w:r>
              <w:rPr>
                <w:rFonts w:hint="eastAsia" w:ascii="宋体" w:hAnsi="宋体" w:eastAsia="宋体" w:cs="宋体"/>
                <w:b/>
                <w:color w:val="000000"/>
                <w:sz w:val="21"/>
                <w:szCs w:val="21"/>
              </w:rPr>
              <w:t>获取法律法规项，▇法律法规获取充分，□法律法规获取有遗漏，缺少</w:t>
            </w:r>
          </w:p>
          <w:p>
            <w:pPr>
              <w:pStyle w:val="17"/>
              <w:numPr>
                <w:ilvl w:val="0"/>
                <w:numId w:val="0"/>
              </w:numPr>
              <w:tabs>
                <w:tab w:val="left" w:pos="540"/>
              </w:tabs>
              <w:spacing w:line="360" w:lineRule="auto"/>
              <w:ind w:leftChars="0"/>
              <w:rPr>
                <w:rFonts w:hint="eastAsia" w:ascii="宋体" w:hAnsi="宋体" w:eastAsia="宋体" w:cs="宋体"/>
                <w:b/>
                <w:color w:val="000000"/>
                <w:sz w:val="21"/>
                <w:szCs w:val="21"/>
              </w:rPr>
            </w:pPr>
            <w:r>
              <w:rPr>
                <w:rFonts w:hint="eastAsia" w:ascii="宋体" w:hAnsi="宋体" w:cs="宋体"/>
                <w:b/>
                <w:color w:val="000000"/>
                <w:sz w:val="21"/>
                <w:szCs w:val="21"/>
                <w:lang w:val="en-US" w:eastAsia="zh-CN"/>
              </w:rPr>
              <w:t>(2)</w:t>
            </w:r>
            <w:r>
              <w:rPr>
                <w:rFonts w:hint="eastAsia" w:ascii="宋体" w:hAnsi="宋体" w:eastAsia="宋体" w:cs="宋体"/>
                <w:b/>
                <w:color w:val="000000"/>
                <w:sz w:val="21"/>
                <w:szCs w:val="21"/>
              </w:rPr>
              <w:t>结合公司的▇产品/服务▇环境因素□危险源，▇确定 □未确定法律法规要求的具体条款，</w:t>
            </w:r>
          </w:p>
          <w:p>
            <w:pPr>
              <w:spacing w:line="360" w:lineRule="auto"/>
              <w:rPr>
                <w:rFonts w:hint="eastAsia" w:ascii="宋体" w:hAnsi="宋体" w:eastAsia="宋体" w:cs="宋体"/>
                <w:sz w:val="21"/>
                <w:szCs w:val="21"/>
              </w:rPr>
            </w:pPr>
            <w:r>
              <w:rPr>
                <w:rFonts w:hint="eastAsia" w:ascii="宋体" w:hAnsi="宋体" w:eastAsia="宋体" w:cs="宋体"/>
                <w:b/>
                <w:color w:val="000000"/>
                <w:sz w:val="21"/>
                <w:szCs w:val="21"/>
              </w:rPr>
              <w:t>法律法规的宣传方式：</w:t>
            </w:r>
            <w:r>
              <w:rPr>
                <w:rFonts w:hint="eastAsia" w:ascii="宋体" w:hAnsi="宋体" w:eastAsia="宋体" w:cs="宋体"/>
                <w:sz w:val="21"/>
                <w:szCs w:val="21"/>
              </w:rPr>
              <w:t>通过培训、开会、发文件等形式将法律法规要求传达给了员工和相关方。</w:t>
            </w:r>
          </w:p>
          <w:p>
            <w:pPr>
              <w:pStyle w:val="17"/>
              <w:numPr>
                <w:ilvl w:val="0"/>
                <w:numId w:val="0"/>
              </w:numPr>
              <w:tabs>
                <w:tab w:val="left" w:pos="540"/>
              </w:tabs>
              <w:spacing w:line="360" w:lineRule="auto"/>
              <w:ind w:leftChars="0"/>
              <w:rPr>
                <w:rFonts w:hint="eastAsia" w:ascii="宋体" w:hAnsi="宋体" w:eastAsia="宋体" w:cs="宋体"/>
                <w:b/>
                <w:color w:val="000000"/>
                <w:sz w:val="21"/>
                <w:szCs w:val="21"/>
              </w:rPr>
            </w:pPr>
            <w:r>
              <w:rPr>
                <w:rFonts w:hint="eastAsia" w:ascii="宋体" w:hAnsi="宋体" w:cs="宋体"/>
                <w:b/>
                <w:color w:val="000000"/>
                <w:sz w:val="21"/>
                <w:szCs w:val="21"/>
                <w:lang w:val="en-US" w:eastAsia="zh-CN"/>
              </w:rPr>
              <w:t>(3)</w:t>
            </w:r>
            <w:r>
              <w:rPr>
                <w:rFonts w:hint="eastAsia" w:ascii="宋体" w:hAnsi="宋体" w:eastAsia="宋体" w:cs="宋体"/>
                <w:b/>
                <w:color w:val="000000"/>
                <w:sz w:val="21"/>
                <w:szCs w:val="21"/>
              </w:rPr>
              <w:t>法律法规要求及时更新了：是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5. 目标、方案</w:t>
            </w:r>
          </w:p>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w:t>
            </w:r>
            <w:r>
              <w:rPr>
                <w:rFonts w:hint="eastAsia" w:ascii="宋体" w:hAnsi="宋体" w:eastAsia="宋体" w:cs="宋体"/>
                <w:b/>
                <w:color w:val="000000"/>
                <w:spacing w:val="-4"/>
                <w:sz w:val="21"/>
                <w:szCs w:val="21"/>
              </w:rPr>
              <w:t>在相关层次上建立</w:t>
            </w:r>
            <w:r>
              <w:rPr>
                <w:rFonts w:hint="eastAsia" w:ascii="宋体" w:hAnsi="宋体" w:eastAsia="宋体" w:cs="宋体"/>
                <w:b/>
                <w:color w:val="000000"/>
                <w:sz w:val="21"/>
                <w:szCs w:val="21"/>
              </w:rPr>
              <w:t>可测量的目标，目标、方案的有效性，对质量目标的实现情况进行评价并叙述测量方法）</w:t>
            </w:r>
          </w:p>
          <w:p>
            <w:pPr>
              <w:spacing w:line="360" w:lineRule="auto"/>
              <w:rPr>
                <w:rFonts w:hint="eastAsia" w:ascii="宋体" w:hAnsi="宋体" w:eastAsia="宋体" w:cs="宋体"/>
                <w:sz w:val="21"/>
                <w:szCs w:val="21"/>
              </w:rPr>
            </w:pPr>
            <w:r>
              <w:rPr>
                <w:rFonts w:hint="eastAsia" w:ascii="宋体" w:hAnsi="宋体" w:eastAsia="宋体" w:cs="宋体"/>
                <w:sz w:val="21"/>
                <w:szCs w:val="21"/>
              </w:rPr>
              <w:t>公司的</w:t>
            </w:r>
            <w:r>
              <w:rPr>
                <w:rFonts w:hint="eastAsia" w:ascii="宋体" w:hAnsi="宋体" w:eastAsia="宋体" w:cs="宋体"/>
                <w:sz w:val="21"/>
                <w:szCs w:val="21"/>
                <w:lang w:val="en-US" w:eastAsia="zh-CN"/>
              </w:rPr>
              <w:t>环境</w:t>
            </w:r>
            <w:r>
              <w:rPr>
                <w:rFonts w:hint="eastAsia" w:ascii="宋体" w:hAnsi="宋体" w:eastAsia="宋体" w:cs="宋体"/>
                <w:sz w:val="21"/>
                <w:szCs w:val="21"/>
              </w:rPr>
              <w:t>管理目标</w:t>
            </w:r>
          </w:p>
          <w:p>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lang w:val="en-US" w:eastAsia="zh-CN"/>
              </w:rPr>
              <w:t>重大环境污染事故为零</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火灾事故为零</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环境影响投诉次数为零</w:t>
            </w:r>
            <w:r>
              <w:rPr>
                <w:rFonts w:hint="eastAsia" w:ascii="宋体" w:hAnsi="宋体" w:eastAsia="宋体" w:cs="宋体"/>
                <w:sz w:val="21"/>
                <w:szCs w:val="21"/>
              </w:rPr>
              <w:t>0；</w:t>
            </w:r>
          </w:p>
          <w:p>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lang w:val="en-US" w:eastAsia="zh-CN"/>
              </w:rPr>
              <w:t>固体废弃物分类处理率为100%</w:t>
            </w:r>
            <w:r>
              <w:rPr>
                <w:rFonts w:hint="eastAsia" w:ascii="宋体" w:hAnsi="宋体" w:eastAsia="宋体" w:cs="宋体"/>
                <w:sz w:val="21"/>
                <w:szCs w:val="21"/>
              </w:rPr>
              <w:t>；</w:t>
            </w:r>
          </w:p>
          <w:p>
            <w:pPr>
              <w:spacing w:line="360" w:lineRule="auto"/>
              <w:rPr>
                <w:rFonts w:hint="eastAsia" w:ascii="宋体" w:hAnsi="宋体" w:eastAsia="宋体" w:cs="宋体"/>
                <w:b/>
                <w:color w:val="000000"/>
                <w:sz w:val="21"/>
                <w:szCs w:val="21"/>
              </w:rPr>
            </w:pPr>
            <w:r>
              <w:rPr>
                <w:rFonts w:hint="eastAsia" w:ascii="宋体" w:hAnsi="宋体" w:eastAsia="宋体" w:cs="宋体"/>
                <w:sz w:val="21"/>
                <w:szCs w:val="21"/>
              </w:rPr>
              <w:t>提供《目标指标和管理方案》《目标指标和管理方案考核表》</w:t>
            </w:r>
            <w:r>
              <w:rPr>
                <w:rFonts w:hint="eastAsia" w:ascii="宋体" w:hAnsi="宋体" w:cs="宋体"/>
                <w:sz w:val="21"/>
                <w:szCs w:val="21"/>
                <w:lang w:eastAsia="zh-CN"/>
              </w:rPr>
              <w:t>，</w:t>
            </w:r>
            <w:r>
              <w:rPr>
                <w:rFonts w:hint="eastAsia" w:ascii="宋体" w:hAnsi="宋体" w:eastAsia="宋体" w:cs="宋体"/>
                <w:sz w:val="21"/>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6. 文件与记录控制 (文审修订后文件与标准的符合程度评价、</w:t>
            </w:r>
            <w:r>
              <w:rPr>
                <w:rFonts w:hint="eastAsia" w:ascii="宋体" w:hAnsi="宋体" w:eastAsia="宋体" w:cs="宋体"/>
                <w:b/>
                <w:color w:val="000000"/>
                <w:spacing w:val="-4"/>
                <w:sz w:val="21"/>
                <w:szCs w:val="21"/>
              </w:rPr>
              <w:t>文件</w:t>
            </w:r>
            <w:r>
              <w:rPr>
                <w:rFonts w:hint="eastAsia" w:ascii="宋体" w:hAnsi="宋体" w:eastAsia="宋体" w:cs="宋体"/>
                <w:b/>
                <w:color w:val="000000"/>
                <w:sz w:val="21"/>
                <w:szCs w:val="21"/>
              </w:rPr>
              <w:t>控制管理等)</w:t>
            </w:r>
          </w:p>
          <w:p>
            <w:pPr>
              <w:numPr>
                <w:ilvl w:val="0"/>
                <w:numId w:val="1"/>
              </w:numPr>
              <w:spacing w:line="360" w:lineRule="auto"/>
              <w:rPr>
                <w:rFonts w:hint="eastAsia" w:ascii="宋体" w:hAnsi="宋体" w:eastAsia="宋体" w:cs="宋体"/>
                <w:sz w:val="21"/>
                <w:szCs w:val="21"/>
              </w:rPr>
            </w:pPr>
            <w:r>
              <w:rPr>
                <w:rFonts w:hint="eastAsia" w:ascii="宋体" w:hAnsi="宋体" w:eastAsia="宋体" w:cs="宋体"/>
                <w:sz w:val="21"/>
                <w:szCs w:val="21"/>
              </w:rPr>
              <w:t>管理手册</w:t>
            </w:r>
            <w:r>
              <w:rPr>
                <w:rFonts w:hint="eastAsia" w:ascii="宋体" w:hAnsi="宋体" w:eastAsia="宋体" w:cs="宋体"/>
                <w:sz w:val="21"/>
                <w:szCs w:val="21"/>
                <w:lang w:val="en-US" w:eastAsia="zh-CN"/>
              </w:rPr>
              <w:t>ES/TJ</w:t>
            </w:r>
            <w:r>
              <w:rPr>
                <w:rFonts w:hint="eastAsia" w:ascii="宋体" w:hAnsi="宋体" w:eastAsia="宋体" w:cs="宋体"/>
                <w:sz w:val="21"/>
                <w:szCs w:val="21"/>
              </w:rPr>
              <w:t xml:space="preserve">-2019 A </w:t>
            </w:r>
            <w:r>
              <w:rPr>
                <w:rFonts w:hint="eastAsia" w:ascii="宋体" w:hAnsi="宋体" w:eastAsia="宋体" w:cs="宋体"/>
                <w:sz w:val="21"/>
                <w:szCs w:val="21"/>
                <w:lang w:val="en-US" w:eastAsia="zh-CN"/>
              </w:rPr>
              <w:t>/0</w:t>
            </w:r>
            <w:r>
              <w:rPr>
                <w:rFonts w:hint="eastAsia" w:ascii="宋体" w:hAnsi="宋体" w:eastAsia="宋体" w:cs="宋体"/>
                <w:bCs/>
                <w:sz w:val="21"/>
                <w:szCs w:val="21"/>
              </w:rPr>
              <w:t>版</w:t>
            </w:r>
            <w:r>
              <w:rPr>
                <w:rFonts w:hint="eastAsia" w:ascii="宋体" w:hAnsi="宋体" w:eastAsia="宋体" w:cs="宋体"/>
                <w:sz w:val="21"/>
                <w:szCs w:val="21"/>
              </w:rPr>
              <w:t>，发布时间：2019.</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实施时间：2019.</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2.程序文件，含</w:t>
            </w:r>
            <w:r>
              <w:rPr>
                <w:rFonts w:hint="eastAsia" w:ascii="宋体" w:hAnsi="宋体" w:eastAsia="宋体" w:cs="宋体"/>
                <w:sz w:val="21"/>
                <w:szCs w:val="21"/>
                <w:lang w:val="en-US" w:eastAsia="zh-CN"/>
              </w:rPr>
              <w:t>19</w:t>
            </w:r>
            <w:r>
              <w:rPr>
                <w:rFonts w:hint="eastAsia" w:ascii="宋体" w:hAnsi="宋体" w:eastAsia="宋体" w:cs="宋体"/>
                <w:sz w:val="21"/>
                <w:szCs w:val="21"/>
              </w:rPr>
              <w:t>个文件，包括标准要求的形成文件的信息。</w:t>
            </w:r>
          </w:p>
          <w:p>
            <w:pPr>
              <w:pStyle w:val="2"/>
              <w:tabs>
                <w:tab w:val="left" w:pos="3300"/>
                <w:tab w:val="left" w:pos="5160"/>
                <w:tab w:val="clear" w:pos="3510"/>
                <w:tab w:val="clear" w:pos="5580"/>
              </w:tabs>
              <w:spacing w:line="360" w:lineRule="auto"/>
              <w:rPr>
                <w:rFonts w:hint="eastAsia" w:ascii="宋体" w:hAnsi="宋体" w:eastAsia="宋体" w:cs="宋体"/>
                <w:sz w:val="21"/>
                <w:szCs w:val="21"/>
              </w:rPr>
            </w:pPr>
            <w:r>
              <w:rPr>
                <w:rFonts w:hint="eastAsia" w:ascii="宋体" w:hAnsi="宋体" w:eastAsia="宋体" w:cs="宋体"/>
                <w:b w:val="0"/>
                <w:bCs w:val="0"/>
                <w:sz w:val="21"/>
                <w:szCs w:val="21"/>
              </w:rPr>
              <w:t>3.管理制度汇</w:t>
            </w:r>
            <w:r>
              <w:rPr>
                <w:rFonts w:hint="eastAsia" w:ascii="宋体" w:hAnsi="宋体" w:eastAsia="宋体" w:cs="宋体"/>
                <w:b w:val="0"/>
                <w:bCs w:val="0"/>
                <w:kern w:val="2"/>
                <w:sz w:val="21"/>
                <w:szCs w:val="21"/>
                <w:lang w:val="en-US" w:eastAsia="zh-CN" w:bidi="ar-SA"/>
              </w:rPr>
              <w:t>编，包括管理制度、合同管理制定、作业指导书等。</w:t>
            </w:r>
          </w:p>
          <w:p>
            <w:pPr>
              <w:spacing w:line="360" w:lineRule="auto"/>
              <w:rPr>
                <w:rFonts w:hint="eastAsia" w:ascii="宋体" w:hAnsi="宋体" w:eastAsia="宋体" w:cs="宋体"/>
                <w:sz w:val="21"/>
                <w:szCs w:val="21"/>
              </w:rPr>
            </w:pPr>
            <w:r>
              <w:rPr>
                <w:rFonts w:hint="eastAsia" w:ascii="宋体" w:hAnsi="宋体" w:eastAsia="宋体" w:cs="宋体"/>
                <w:sz w:val="21"/>
                <w:szCs w:val="21"/>
              </w:rPr>
              <w:t>4.体系运行所需要的文件和记录</w:t>
            </w:r>
            <w:r>
              <w:rPr>
                <w:rFonts w:hint="eastAsia" w:ascii="宋体" w:hAnsi="宋体" w:cs="宋体"/>
                <w:sz w:val="21"/>
                <w:szCs w:val="21"/>
                <w:lang w:eastAsia="zh-CN"/>
              </w:rPr>
              <w:t>，</w:t>
            </w:r>
            <w:r>
              <w:rPr>
                <w:rFonts w:hint="eastAsia" w:ascii="宋体" w:hAnsi="宋体" w:eastAsia="宋体" w:cs="宋体"/>
                <w:sz w:val="21"/>
                <w:szCs w:val="21"/>
              </w:rPr>
              <w:t>编制了《文件控制程序》，用于对管理体系文件，符合标准要求。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行政部</w:t>
            </w:r>
            <w:r>
              <w:rPr>
                <w:rFonts w:hint="eastAsia" w:ascii="宋体" w:hAnsi="宋体" w:cs="宋体"/>
                <w:sz w:val="21"/>
                <w:szCs w:val="21"/>
                <w:lang w:val="en-US" w:eastAsia="zh-CN"/>
              </w:rPr>
              <w:t>提供</w:t>
            </w:r>
            <w:r>
              <w:rPr>
                <w:rFonts w:hint="eastAsia" w:ascii="宋体" w:hAnsi="宋体" w:eastAsia="宋体" w:cs="宋体"/>
                <w:sz w:val="21"/>
                <w:szCs w:val="21"/>
              </w:rPr>
              <w:t>管理手册、管理制度等文件均保管良好，为有效版本，有受控标识</w:t>
            </w:r>
            <w:r>
              <w:rPr>
                <w:rFonts w:hint="eastAsia" w:ascii="宋体" w:hAnsi="宋体" w:cs="宋体"/>
                <w:sz w:val="21"/>
                <w:szCs w:val="21"/>
                <w:lang w:eastAsia="zh-CN"/>
              </w:rPr>
              <w:t>，</w:t>
            </w:r>
            <w:r>
              <w:rPr>
                <w:rFonts w:hint="eastAsia" w:ascii="宋体" w:hAnsi="宋体" w:eastAsia="宋体" w:cs="宋体"/>
                <w:sz w:val="21"/>
                <w:szCs w:val="21"/>
              </w:rPr>
              <w:t>负责收集有关产品的国家标准、行业标准的最新版本，分发到相关部门使用；收回旧标准。</w:t>
            </w:r>
          </w:p>
          <w:p>
            <w:pPr>
              <w:spacing w:line="360" w:lineRule="auto"/>
              <w:rPr>
                <w:rFonts w:hint="eastAsia" w:ascii="宋体" w:hAnsi="宋体" w:eastAsia="宋体" w:cs="宋体"/>
                <w:sz w:val="21"/>
                <w:szCs w:val="21"/>
              </w:rPr>
            </w:pPr>
            <w:r>
              <w:rPr>
                <w:rFonts w:hint="eastAsia" w:ascii="宋体" w:hAnsi="宋体" w:eastAsia="宋体" w:cs="宋体"/>
                <w:sz w:val="21"/>
                <w:szCs w:val="21"/>
              </w:rPr>
              <w:t>以上外来文件保管良好，均为有效版本。</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查见《记录清单》，内容包括：序号、记录名称、编号、保存期、使用部门等。</w:t>
            </w:r>
          </w:p>
          <w:p>
            <w:pPr>
              <w:tabs>
                <w:tab w:val="left" w:pos="540"/>
              </w:tabs>
              <w:spacing w:line="360" w:lineRule="auto"/>
              <w:rPr>
                <w:rFonts w:hint="eastAsia" w:ascii="宋体" w:hAnsi="宋体" w:eastAsia="宋体" w:cs="宋体"/>
                <w:b/>
                <w:color w:val="000000"/>
                <w:sz w:val="21"/>
                <w:szCs w:val="21"/>
              </w:rPr>
            </w:pPr>
            <w:r>
              <w:rPr>
                <w:rFonts w:hint="eastAsia" w:ascii="宋体" w:hAnsi="宋体" w:eastAsia="宋体" w:cs="宋体"/>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360" w:lineRule="auto"/>
              <w:ind w:left="113" w:right="113"/>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br w:type="page"/>
            </w:r>
            <w:r>
              <w:rPr>
                <w:rFonts w:hint="eastAsia" w:ascii="宋体" w:hAnsi="宋体" w:eastAsia="宋体" w:cs="宋体"/>
                <w:b/>
                <w:color w:val="000000"/>
                <w:sz w:val="21"/>
                <w:szCs w:val="21"/>
              </w:rPr>
              <w:t>(二)资源评价</w:t>
            </w: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人力资源的简要说明.:</w:t>
            </w:r>
          </w:p>
          <w:p>
            <w:pPr>
              <w:spacing w:line="360" w:lineRule="auto"/>
              <w:ind w:firstLine="210" w:firstLineChars="100"/>
              <w:rPr>
                <w:rFonts w:hint="eastAsia" w:ascii="宋体" w:hAnsi="宋体" w:eastAsia="宋体" w:cs="宋体"/>
                <w:b/>
                <w:color w:val="000000"/>
                <w:sz w:val="21"/>
                <w:szCs w:val="21"/>
              </w:rPr>
            </w:pPr>
            <w:r>
              <w:rPr>
                <w:rFonts w:hint="eastAsia" w:ascii="宋体" w:hAnsi="宋体" w:eastAsia="宋体" w:cs="宋体"/>
                <w:sz w:val="21"/>
                <w:szCs w:val="21"/>
              </w:rPr>
              <w:t>生产、技术、检验、销售服务人员上岗前经过岗前培训，人员均经过专业培训。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360" w:lineRule="auto"/>
              <w:ind w:left="113" w:right="113"/>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设备设施（包括信息系统）、</w:t>
            </w:r>
          </w:p>
          <w:p>
            <w:pPr>
              <w:spacing w:line="360" w:lineRule="auto"/>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立车、加工中心、摇臂钻、立铣等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360" w:lineRule="auto"/>
              <w:ind w:left="113" w:right="113"/>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过程运行环境</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现场观察办公区、生产车间环境卫生管理，工作场所布局合理，温湿度适宜，照明良好，满足办公需求。 </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经与主管人员交谈，其对本部门在本条款管理中的职责、分工和接口关系清楚掌握，基本符合文件要求。</w:t>
            </w:r>
          </w:p>
          <w:p>
            <w:pPr>
              <w:spacing w:line="240" w:lineRule="auto"/>
              <w:ind w:firstLine="420" w:firstLineChars="200"/>
              <w:rPr>
                <w:rFonts w:hint="eastAsia" w:ascii="宋体" w:hAnsi="宋体" w:eastAsia="宋体" w:cs="宋体"/>
                <w:b/>
                <w:color w:val="000000"/>
                <w:sz w:val="21"/>
                <w:szCs w:val="21"/>
              </w:rPr>
            </w:pPr>
            <w:r>
              <w:rPr>
                <w:rFonts w:hint="eastAsia" w:ascii="宋体" w:hAnsi="宋体" w:eastAsia="宋体" w:cs="宋体"/>
                <w:sz w:val="21"/>
                <w:szCs w:val="21"/>
              </w:rPr>
              <w:t>公司现场观察，公司办公场所和生产场所均环境良好，满足办公需要，无特殊环境要求。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360" w:lineRule="auto"/>
              <w:ind w:left="113" w:right="113"/>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监视和测量资源</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bCs/>
                <w:sz w:val="21"/>
                <w:szCs w:val="21"/>
                <w:lang w:val="en-US" w:eastAsia="zh-CN"/>
              </w:rPr>
              <w:t>内径百分表、深度尺、游标卡尺等，均经</w:t>
            </w:r>
            <w:r>
              <w:rPr>
                <w:rFonts w:hint="eastAsia" w:ascii="宋体" w:hAnsi="宋体" w:eastAsia="宋体" w:cs="宋体"/>
                <w:bCs/>
                <w:sz w:val="21"/>
                <w:szCs w:val="21"/>
              </w:rPr>
              <w:t>校准合格。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720" w:type="dxa"/>
            <w:vMerge w:val="continue"/>
            <w:textDirection w:val="tbRlV"/>
            <w:vAlign w:val="center"/>
          </w:tcPr>
          <w:p>
            <w:pPr>
              <w:spacing w:line="360" w:lineRule="auto"/>
              <w:ind w:left="113" w:right="113"/>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知识</w:t>
            </w:r>
          </w:p>
          <w:p>
            <w:pPr>
              <w:spacing w:line="360" w:lineRule="auto"/>
              <w:ind w:firstLine="420" w:firstLineChars="200"/>
              <w:rPr>
                <w:rFonts w:hint="eastAsia" w:ascii="宋体" w:hAnsi="宋体" w:eastAsia="宋体" w:cs="宋体"/>
                <w:b/>
                <w:color w:val="000000"/>
                <w:sz w:val="21"/>
                <w:szCs w:val="21"/>
              </w:rPr>
            </w:pPr>
            <w:r>
              <w:rPr>
                <w:rFonts w:hint="eastAsia" w:ascii="宋体" w:hAnsi="宋体" w:eastAsia="宋体" w:cs="宋体"/>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360" w:lineRule="auto"/>
              <w:ind w:left="113" w:right="113"/>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环保设施：</w:t>
            </w:r>
          </w:p>
          <w:p>
            <w:pPr>
              <w:spacing w:line="360" w:lineRule="auto"/>
              <w:rPr>
                <w:rFonts w:hint="eastAsia" w:ascii="宋体" w:hAnsi="宋体" w:eastAsia="宋体" w:cs="宋体"/>
                <w:b/>
                <w:color w:val="000000"/>
                <w:sz w:val="21"/>
                <w:szCs w:val="21"/>
              </w:rPr>
            </w:pPr>
            <w:r>
              <w:rPr>
                <w:rFonts w:hint="eastAsia" w:ascii="宋体" w:hAnsi="宋体" w:eastAsia="宋体" w:cs="宋体"/>
                <w:bCs/>
                <w:sz w:val="21"/>
                <w:szCs w:val="21"/>
              </w:rPr>
              <w:t>环保设备配置:</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固体废弃物堆放间、</w:t>
            </w:r>
            <w:r>
              <w:rPr>
                <w:rFonts w:hint="eastAsia" w:ascii="宋体" w:hAnsi="宋体" w:eastAsia="宋体" w:cs="宋体"/>
                <w:bCs/>
                <w:sz w:val="21"/>
                <w:szCs w:val="21"/>
              </w:rPr>
              <w:t>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20" w:type="dxa"/>
            <w:vMerge w:val="continue"/>
            <w:textDirection w:val="tbRlV"/>
            <w:vAlign w:val="center"/>
          </w:tcPr>
          <w:p>
            <w:pPr>
              <w:spacing w:line="360" w:lineRule="auto"/>
              <w:ind w:left="113" w:right="113"/>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720" w:type="dxa"/>
            <w:vMerge w:val="restart"/>
            <w:textDirection w:val="tbRlV"/>
            <w:vAlign w:val="center"/>
          </w:tcPr>
          <w:p>
            <w:pPr>
              <w:spacing w:line="360" w:lineRule="auto"/>
              <w:ind w:left="113" w:right="113"/>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(三)体系运行情况</w:t>
            </w: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1. 针对方针的管理职责评审</w:t>
            </w:r>
          </w:p>
          <w:p>
            <w:pPr>
              <w:spacing w:line="360" w:lineRule="auto"/>
              <w:ind w:left="1"/>
              <w:rPr>
                <w:rFonts w:hint="eastAsia" w:ascii="宋体" w:hAnsi="宋体" w:eastAsia="宋体" w:cs="宋体"/>
                <w:b/>
                <w:color w:val="000000"/>
                <w:sz w:val="21"/>
                <w:szCs w:val="21"/>
              </w:rPr>
            </w:pPr>
            <w:r>
              <w:rPr>
                <w:rFonts w:hint="eastAsia" w:ascii="宋体" w:hAnsi="宋体" w:eastAsia="宋体" w:cs="宋体"/>
                <w:b/>
                <w:color w:val="000000"/>
                <w:sz w:val="21"/>
                <w:szCs w:val="21"/>
              </w:rPr>
              <w:t>（包括针对组织宗旨，制定相关管理方针政策、确保方针为员工理解并在运营中实施，监视方针的实施并评审方针的适宜性）</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u w:val="none"/>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ind w:left="159" w:hanging="167" w:hangingChars="79"/>
              <w:rPr>
                <w:rFonts w:hint="eastAsia" w:ascii="宋体" w:hAnsi="宋体" w:eastAsia="宋体" w:cs="宋体"/>
                <w:b/>
                <w:color w:val="000000"/>
                <w:sz w:val="21"/>
                <w:szCs w:val="21"/>
              </w:rPr>
            </w:pPr>
            <w:r>
              <w:rPr>
                <w:rFonts w:hint="eastAsia" w:ascii="宋体" w:hAnsi="宋体" w:eastAsia="宋体" w:cs="宋体"/>
                <w:b/>
                <w:color w:val="000000"/>
                <w:sz w:val="21"/>
                <w:szCs w:val="21"/>
              </w:rPr>
              <w:t>2. 组织内部沟通的充分性与效果；（OHSMS员工参与风险管理/健康安全事务的关心和影响力；组织对外联络关注顾客的感受情况、信息交流包括通报相关方的情况等）</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内部沟通的情况：内部沟通方式：</w:t>
            </w:r>
            <w:r>
              <w:rPr>
                <w:rFonts w:hint="eastAsia" w:ascii="宋体" w:hAnsi="宋体" w:eastAsia="宋体" w:cs="宋体"/>
                <w:sz w:val="21"/>
                <w:szCs w:val="21"/>
                <w:u w:val="single"/>
              </w:rPr>
              <w:t>培训、会议、宣传栏；</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内部沟通的效果：</w:t>
            </w:r>
            <w:r>
              <w:rPr>
                <w:rFonts w:hint="eastAsia" w:ascii="宋体" w:hAnsi="宋体" w:eastAsia="宋体" w:cs="宋体"/>
                <w:sz w:val="21"/>
                <w:szCs w:val="21"/>
                <w:u w:val="single"/>
              </w:rPr>
              <w:t>沟通畅通；</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组织对外联络，关注顾客的感受情况（QMS）：</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外部信息的接收、成文并答复的情况（E、S填写）：</w:t>
            </w:r>
            <w:r>
              <w:rPr>
                <w:rFonts w:hint="eastAsia" w:ascii="宋体" w:hAnsi="宋体" w:eastAsia="宋体" w:cs="宋体"/>
                <w:sz w:val="21"/>
                <w:szCs w:val="21"/>
                <w:u w:val="single"/>
              </w:rPr>
              <w:t>参加相关部门组织的会议，接收相关部门下达的通知并在公司内部沟通传达。</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重要环境因素信息对外交流情况（EMS填写）：</w:t>
            </w:r>
            <w:r>
              <w:rPr>
                <w:rFonts w:hint="eastAsia" w:ascii="宋体" w:hAnsi="宋体" w:eastAsia="宋体" w:cs="宋体"/>
                <w:sz w:val="21"/>
                <w:szCs w:val="21"/>
                <w:u w:val="single"/>
              </w:rPr>
              <w:t>对相关方进行环保告知。</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OHSMS事务代表协商和交流的情况（OHSMS填写）：</w:t>
            </w:r>
          </w:p>
          <w:p>
            <w:pPr>
              <w:spacing w:line="360" w:lineRule="auto"/>
              <w:rPr>
                <w:rFonts w:hint="eastAsia" w:ascii="宋体" w:hAnsi="宋体" w:eastAsia="宋体" w:cs="宋体"/>
                <w:b/>
                <w:color w:val="000000"/>
                <w:sz w:val="21"/>
                <w:szCs w:val="21"/>
              </w:rPr>
            </w:pPr>
            <w:r>
              <w:rPr>
                <w:rFonts w:hint="eastAsia" w:ascii="宋体" w:hAnsi="宋体" w:eastAsia="宋体" w:cs="宋体"/>
                <w:b/>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3.  QMS 组织对重要过程实施控制的结果</w:t>
            </w:r>
          </w:p>
          <w:p>
            <w:pPr>
              <w:spacing w:line="360" w:lineRule="auto"/>
              <w:ind w:left="206" w:leftChars="42" w:hanging="105" w:hangingChars="50"/>
              <w:rPr>
                <w:rFonts w:hint="eastAsia" w:ascii="宋体" w:hAnsi="宋体" w:eastAsia="宋体" w:cs="宋体"/>
                <w:b/>
                <w:color w:val="000000"/>
                <w:sz w:val="21"/>
                <w:szCs w:val="21"/>
              </w:rPr>
            </w:pPr>
            <w:r>
              <w:rPr>
                <w:rFonts w:hint="eastAsia" w:ascii="宋体" w:hAnsi="宋体" w:eastAsia="宋体" w:cs="宋体"/>
                <w:b/>
                <w:color w:val="000000"/>
                <w:sz w:val="21"/>
                <w:szCs w:val="21"/>
              </w:rPr>
              <w:t>(包括对QMS关键工序(过程)、特殊过程控制;评价组织对过程实施控制情况/)</w:t>
            </w:r>
          </w:p>
          <w:p>
            <w:pPr>
              <w:spacing w:line="360" w:lineRule="auto"/>
              <w:rPr>
                <w:rFonts w:hint="eastAsia" w:ascii="宋体" w:hAnsi="宋体" w:eastAsia="宋体" w:cs="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4.QMS产品/服务的标准、协议/规范的有效性以及产品/服务质量符合要求，向顾客稳定提供合格产品的情况；</w:t>
            </w:r>
          </w:p>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5 .QMS国家/地方技术监督部门监测（检测、委托检测、定期监测、型式试验等）、抽查结果</w:t>
            </w:r>
          </w:p>
          <w:p>
            <w:pPr>
              <w:spacing w:line="360" w:lineRule="auto"/>
              <w:ind w:firstLine="207" w:firstLineChars="98"/>
              <w:rPr>
                <w:rFonts w:hint="eastAsia" w:ascii="宋体" w:hAnsi="宋体" w:eastAsia="宋体" w:cs="宋体"/>
                <w:b/>
                <w:color w:val="000000"/>
                <w:sz w:val="21"/>
                <w:szCs w:val="21"/>
              </w:rPr>
            </w:pPr>
            <w:r>
              <w:rPr>
                <w:rFonts w:hint="eastAsia" w:ascii="宋体" w:hAnsi="宋体" w:eastAsia="宋体" w:cs="宋体"/>
                <w:b/>
                <w:color w:val="000000"/>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6. </w:t>
            </w:r>
            <w:r>
              <w:rPr>
                <w:rFonts w:hint="eastAsia" w:ascii="宋体" w:hAnsi="宋体" w:eastAsia="宋体" w:cs="宋体"/>
                <w:b/>
                <w:color w:val="000000"/>
                <w:spacing w:val="-8"/>
                <w:sz w:val="21"/>
                <w:szCs w:val="21"/>
              </w:rPr>
              <w:t>不合格品/项的识别、控制;</w:t>
            </w:r>
          </w:p>
          <w:p>
            <w:pPr>
              <w:spacing w:line="360" w:lineRule="auto"/>
              <w:rPr>
                <w:rFonts w:hint="eastAsia" w:ascii="宋体" w:hAnsi="宋体" w:eastAsia="宋体" w:cs="宋体"/>
                <w:color w:val="000000"/>
                <w:sz w:val="21"/>
                <w:szCs w:val="21"/>
              </w:rPr>
            </w:pPr>
            <w:r>
              <w:rPr>
                <w:rFonts w:hint="eastAsia" w:ascii="宋体" w:hAnsi="宋体" w:eastAsia="宋体" w:cs="宋体"/>
                <w:b/>
                <w:color w:val="000000"/>
                <w:sz w:val="21"/>
                <w:szCs w:val="21"/>
              </w:rPr>
              <w:t xml:space="preserve"> </w:t>
            </w:r>
            <w:r>
              <w:rPr>
                <w:rFonts w:hint="eastAsia" w:ascii="宋体" w:hAnsi="宋体" w:eastAsia="宋体" w:cs="宋体"/>
                <w:color w:val="000000"/>
                <w:sz w:val="21"/>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7. EMS组织对重要环境因素实施控制的结果</w:t>
            </w:r>
          </w:p>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（EMS对重要环境因素控制，重大环境因素对周边环境产生的影响及控制;对相关方施加影响）</w:t>
            </w:r>
          </w:p>
          <w:p>
            <w:pPr>
              <w:spacing w:line="360" w:lineRule="auto"/>
              <w:ind w:firstLine="421"/>
              <w:rPr>
                <w:rFonts w:hint="eastAsia" w:ascii="宋体" w:hAnsi="宋体" w:eastAsia="宋体" w:cs="宋体"/>
                <w:sz w:val="21"/>
                <w:szCs w:val="21"/>
                <w:lang w:val="en-US" w:eastAsia="zh-CN"/>
              </w:rPr>
            </w:pPr>
            <w:r>
              <w:rPr>
                <w:rFonts w:hint="eastAsia" w:ascii="宋体" w:hAnsi="宋体" w:eastAsia="宋体" w:cs="宋体"/>
                <w:sz w:val="21"/>
                <w:szCs w:val="21"/>
              </w:rPr>
              <w:t>1、废水管控：</w:t>
            </w:r>
            <w:r>
              <w:rPr>
                <w:rFonts w:hint="eastAsia" w:ascii="宋体" w:hAnsi="宋体" w:eastAsia="宋体" w:cs="宋体"/>
                <w:sz w:val="21"/>
                <w:szCs w:val="21"/>
                <w:lang w:val="en-US" w:eastAsia="zh-CN"/>
              </w:rPr>
              <w:t>生产过程不产生废水</w:t>
            </w:r>
            <w:r>
              <w:rPr>
                <w:rFonts w:hint="eastAsia" w:ascii="宋体" w:hAnsi="宋体" w:cs="宋体"/>
                <w:sz w:val="21"/>
                <w:szCs w:val="21"/>
                <w:lang w:val="en-US" w:eastAsia="zh-CN"/>
              </w:rPr>
              <w:t>。</w:t>
            </w:r>
          </w:p>
          <w:p>
            <w:pPr>
              <w:spacing w:line="360" w:lineRule="auto"/>
              <w:ind w:firstLine="421"/>
              <w:rPr>
                <w:rFonts w:hint="eastAsia" w:ascii="宋体" w:hAnsi="宋体" w:eastAsia="宋体" w:cs="宋体"/>
                <w:sz w:val="21"/>
                <w:szCs w:val="21"/>
                <w:lang w:val="en-US" w:eastAsia="zh-CN"/>
              </w:rPr>
            </w:pPr>
            <w:r>
              <w:rPr>
                <w:rFonts w:hint="eastAsia" w:ascii="宋体" w:hAnsi="宋体" w:eastAsia="宋体" w:cs="宋体"/>
                <w:sz w:val="21"/>
                <w:szCs w:val="21"/>
              </w:rPr>
              <w:t>2、废气管控：主要是</w:t>
            </w:r>
            <w:r>
              <w:rPr>
                <w:rFonts w:hint="eastAsia" w:ascii="宋体" w:hAnsi="宋体" w:cs="宋体"/>
                <w:sz w:val="21"/>
                <w:szCs w:val="21"/>
                <w:lang w:val="en-US" w:eastAsia="zh-CN"/>
              </w:rPr>
              <w:t>铸造壳体的机械</w:t>
            </w:r>
            <w:r>
              <w:rPr>
                <w:rFonts w:hint="eastAsia" w:ascii="宋体" w:hAnsi="宋体" w:eastAsia="宋体" w:cs="宋体"/>
                <w:sz w:val="21"/>
                <w:szCs w:val="21"/>
              </w:rPr>
              <w:t>加工过程产生少量粉尘，对车间及周围环境影响较小，经</w:t>
            </w:r>
            <w:r>
              <w:rPr>
                <w:rFonts w:hint="eastAsia" w:ascii="宋体" w:hAnsi="宋体" w:cs="宋体"/>
                <w:sz w:val="21"/>
                <w:szCs w:val="21"/>
                <w:lang w:val="en-US" w:eastAsia="zh-CN"/>
              </w:rPr>
              <w:t>园区的空气监测</w:t>
            </w:r>
            <w:r>
              <w:rPr>
                <w:rFonts w:hint="eastAsia" w:ascii="宋体" w:hAnsi="宋体" w:eastAsia="宋体" w:cs="宋体"/>
                <w:sz w:val="21"/>
                <w:szCs w:val="21"/>
              </w:rPr>
              <w:t>无组织废气监测符合排放标准要求。</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3、噪声管控：</w:t>
            </w:r>
          </w:p>
          <w:p>
            <w:pPr>
              <w:adjustRightInd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噪音主要来自各种生产机械设备运行时所产生的噪声，车间采用双层隔音玻璃窗户降噪措施。</w:t>
            </w:r>
          </w:p>
          <w:p>
            <w:pPr>
              <w:adjustRightInd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4、产生的固体废物：一般工业固废有铁屑，收集后销售给铸造厂家循环利用。</w:t>
            </w:r>
          </w:p>
          <w:p>
            <w:pPr>
              <w:numPr>
                <w:ilvl w:val="0"/>
                <w:numId w:val="2"/>
              </w:numPr>
              <w:spacing w:line="360" w:lineRule="auto"/>
              <w:ind w:firstLine="421"/>
              <w:rPr>
                <w:rFonts w:hint="eastAsia" w:ascii="宋体" w:hAnsi="宋体" w:eastAsia="宋体" w:cs="宋体"/>
                <w:sz w:val="21"/>
                <w:szCs w:val="21"/>
                <w:u w:val="none"/>
              </w:rPr>
            </w:pPr>
            <w:r>
              <w:rPr>
                <w:rFonts w:hint="eastAsia" w:ascii="宋体" w:hAnsi="宋体" w:eastAsia="宋体" w:cs="宋体"/>
                <w:sz w:val="21"/>
                <w:szCs w:val="21"/>
                <w:u w:val="none"/>
              </w:rPr>
              <w:t>能源资源管控：</w:t>
            </w:r>
          </w:p>
          <w:p>
            <w:pPr>
              <w:spacing w:line="360" w:lineRule="auto"/>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注意节水、节电、节约塑料颗粒的试验，人走关闭设备和照明开关，现场未发现有漏水和浪费电能的现象。</w:t>
            </w:r>
          </w:p>
          <w:p>
            <w:pPr>
              <w:spacing w:line="360" w:lineRule="auto"/>
              <w:ind w:firstLine="421"/>
              <w:rPr>
                <w:rFonts w:hint="eastAsia" w:ascii="宋体" w:hAnsi="宋体" w:eastAsia="宋体" w:cs="宋体"/>
                <w:sz w:val="21"/>
                <w:szCs w:val="21"/>
                <w:u w:val="none"/>
              </w:rPr>
            </w:pPr>
            <w:r>
              <w:rPr>
                <w:rFonts w:hint="eastAsia" w:ascii="宋体" w:hAnsi="宋体" w:eastAsia="宋体" w:cs="宋体"/>
                <w:sz w:val="21"/>
                <w:szCs w:val="21"/>
                <w:u w:val="none"/>
              </w:rPr>
              <w:t>6、产品生命周期的环境管控：</w:t>
            </w:r>
          </w:p>
          <w:p>
            <w:pPr>
              <w:spacing w:line="360" w:lineRule="auto"/>
              <w:ind w:firstLine="421"/>
              <w:rPr>
                <w:rFonts w:hint="eastAsia" w:ascii="宋体" w:hAnsi="宋体" w:eastAsia="宋体" w:cs="宋体"/>
                <w:b/>
                <w:color w:val="000000"/>
                <w:sz w:val="21"/>
                <w:szCs w:val="21"/>
              </w:rPr>
            </w:pPr>
            <w:r>
              <w:rPr>
                <w:rFonts w:hint="eastAsia" w:ascii="宋体" w:hAnsi="宋体" w:eastAsia="宋体" w:cs="宋体"/>
                <w:sz w:val="21"/>
                <w:szCs w:val="21"/>
                <w:u w:val="none"/>
              </w:rPr>
              <w:t>公司采购产品时已考虑了产品的环保性，严格按照环保等管理制度实施，控制好辅助材料的用量，避免浪费，生命周期终了时废旧塑料还可以回收再利用。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8. OHS 组织对不可接受风险实施控制的结果</w:t>
            </w:r>
          </w:p>
          <w:p>
            <w:pPr>
              <w:spacing w:line="360" w:lineRule="auto"/>
              <w:ind w:firstLine="422" w:firstLineChars="200"/>
              <w:rPr>
                <w:rFonts w:hint="eastAsia" w:ascii="宋体" w:hAnsi="宋体" w:eastAsia="宋体" w:cs="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ind w:left="201" w:hanging="211" w:hangingChars="100"/>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9. 应急准备与相应活动的演练及对预案可行性的评价(当有规定时) </w:t>
            </w:r>
          </w:p>
          <w:p>
            <w:pPr>
              <w:spacing w:line="360" w:lineRule="auto"/>
              <w:ind w:firstLine="420" w:firstLineChars="200"/>
              <w:rPr>
                <w:rFonts w:hint="eastAsia" w:ascii="宋体" w:hAnsi="宋体" w:eastAsia="宋体" w:cs="宋体"/>
                <w:b/>
                <w:color w:val="000000"/>
                <w:spacing w:val="-4"/>
                <w:sz w:val="21"/>
                <w:szCs w:val="21"/>
              </w:rPr>
            </w:pPr>
            <w:r>
              <w:rPr>
                <w:rFonts w:hint="eastAsia" w:ascii="宋体" w:hAnsi="宋体" w:eastAsia="宋体" w:cs="宋体"/>
                <w:sz w:val="21"/>
                <w:szCs w:val="21"/>
                <w:lang w:val="en-GB"/>
              </w:rPr>
              <w:t>制定了《应急准备和响应控制程序》，编制了火灾</w:t>
            </w:r>
            <w:r>
              <w:rPr>
                <w:rFonts w:hint="eastAsia" w:ascii="宋体" w:hAnsi="宋体" w:eastAsia="宋体" w:cs="宋体"/>
                <w:sz w:val="21"/>
                <w:szCs w:val="21"/>
                <w:lang w:val="en-US" w:eastAsia="zh-CN"/>
              </w:rPr>
              <w:t>专项</w:t>
            </w:r>
            <w:r>
              <w:rPr>
                <w:rFonts w:hint="eastAsia" w:ascii="宋体" w:hAnsi="宋体" w:eastAsia="宋体" w:cs="宋体"/>
                <w:sz w:val="21"/>
                <w:szCs w:val="21"/>
                <w:lang w:val="en-GB"/>
              </w:rPr>
              <w:t>应急预案，包含有事件级别及不同级别事件的处理程序、事件处理组织机构及职责分工、通用及特殊处理程序、各岗位要求等。具有可操作性。</w:t>
            </w:r>
            <w:r>
              <w:rPr>
                <w:rFonts w:hint="eastAsia" w:ascii="宋体" w:hAnsi="宋体" w:eastAsia="宋体" w:cs="宋体"/>
                <w:sz w:val="21"/>
                <w:szCs w:val="21"/>
              </w:rPr>
              <w:t>定期记录应急预案的演练，</w:t>
            </w:r>
            <w:r>
              <w:rPr>
                <w:rFonts w:hint="eastAsia" w:ascii="宋体" w:hAnsi="宋体" w:eastAsia="宋体" w:cs="宋体"/>
                <w:sz w:val="21"/>
                <w:szCs w:val="21"/>
                <w:lang w:val="en-GB"/>
              </w:rPr>
              <w:t>应急演练后对应急预案进行了评审，应急预案不重要修订。</w:t>
            </w:r>
            <w:r>
              <w:rPr>
                <w:rFonts w:hint="eastAsia" w:ascii="宋体" w:hAnsi="宋体" w:eastAsia="宋体" w:cs="宋体"/>
                <w:bCs/>
                <w:sz w:val="21"/>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10. </w:t>
            </w:r>
            <w:r>
              <w:rPr>
                <w:rFonts w:hint="eastAsia" w:ascii="宋体" w:hAnsi="宋体" w:eastAsia="宋体" w:cs="宋体"/>
                <w:b/>
                <w:sz w:val="21"/>
                <w:szCs w:val="21"/>
              </w:rPr>
              <w:t xml:space="preserve">对特种设备的维护，检定; </w:t>
            </w:r>
          </w:p>
          <w:p>
            <w:pPr>
              <w:spacing w:line="360" w:lineRule="auto"/>
              <w:ind w:firstLine="411" w:firstLineChars="196"/>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11 .对危险化学品销售、使用、储存、运输处置，规定的执行力度(必要时);</w:t>
            </w:r>
          </w:p>
          <w:p>
            <w:pPr>
              <w:spacing w:line="360" w:lineRule="auto"/>
              <w:ind w:firstLine="411" w:firstLineChars="196"/>
              <w:rPr>
                <w:rFonts w:hint="eastAsia" w:ascii="宋体" w:hAnsi="宋体" w:eastAsia="宋体" w:cs="宋体"/>
                <w:color w:val="000000"/>
                <w:sz w:val="21"/>
                <w:szCs w:val="21"/>
                <w:u w:val="single"/>
              </w:rPr>
            </w:pPr>
            <w:r>
              <w:rPr>
                <w:rFonts w:hint="eastAsia" w:ascii="宋体" w:hAnsi="宋体" w:eastAsia="宋体" w:cs="宋体"/>
                <w:color w:val="000000"/>
                <w:sz w:val="21"/>
                <w:szCs w:val="21"/>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20" w:type="dxa"/>
            <w:vMerge w:val="restart"/>
            <w:textDirection w:val="tbRlV"/>
            <w:vAlign w:val="center"/>
          </w:tcPr>
          <w:p>
            <w:pPr>
              <w:spacing w:line="360" w:lineRule="auto"/>
              <w:ind w:left="113" w:right="113"/>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(四)监视测量方面</w:t>
            </w:r>
          </w:p>
        </w:tc>
        <w:tc>
          <w:tcPr>
            <w:tcW w:w="9198" w:type="dxa"/>
          </w:tcPr>
          <w:p>
            <w:pPr>
              <w:spacing w:line="360" w:lineRule="auto"/>
              <w:ind w:left="100" w:hanging="105" w:hangingChars="50"/>
              <w:rPr>
                <w:rFonts w:hint="eastAsia" w:ascii="宋体" w:hAnsi="宋体" w:eastAsia="宋体" w:cs="宋体"/>
                <w:b/>
                <w:color w:val="000000"/>
                <w:sz w:val="21"/>
                <w:szCs w:val="21"/>
              </w:rPr>
            </w:pPr>
            <w:r>
              <w:rPr>
                <w:rFonts w:hint="eastAsia" w:ascii="宋体" w:hAnsi="宋体" w:eastAsia="宋体" w:cs="宋体"/>
                <w:b/>
                <w:color w:val="000000"/>
                <w:sz w:val="21"/>
                <w:szCs w:val="21"/>
              </w:rPr>
              <w:t>1. .对质量/环境/职业健康安全目标指标进行定期监测/检查情况</w:t>
            </w:r>
          </w:p>
          <w:p>
            <w:pPr>
              <w:spacing w:line="360" w:lineRule="auto"/>
              <w:ind w:firstLine="105" w:firstLineChars="50"/>
              <w:rPr>
                <w:rFonts w:hint="eastAsia" w:ascii="宋体" w:hAnsi="宋体" w:eastAsia="宋体" w:cs="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360" w:lineRule="auto"/>
              <w:ind w:left="113" w:right="113"/>
              <w:jc w:val="center"/>
              <w:rPr>
                <w:rFonts w:hint="eastAsia" w:ascii="宋体" w:hAnsi="宋体" w:eastAsia="宋体" w:cs="宋体"/>
                <w:b/>
                <w:color w:val="000000"/>
                <w:sz w:val="21"/>
                <w:szCs w:val="21"/>
              </w:rPr>
            </w:pPr>
          </w:p>
        </w:tc>
        <w:tc>
          <w:tcPr>
            <w:tcW w:w="9198" w:type="dxa"/>
          </w:tcPr>
          <w:p>
            <w:pPr>
              <w:spacing w:line="360" w:lineRule="auto"/>
              <w:ind w:left="100" w:hanging="105" w:hangingChars="50"/>
              <w:rPr>
                <w:rFonts w:hint="eastAsia" w:ascii="宋体" w:hAnsi="宋体" w:eastAsia="宋体" w:cs="宋体"/>
                <w:b/>
                <w:color w:val="000000"/>
                <w:sz w:val="21"/>
                <w:szCs w:val="21"/>
              </w:rPr>
            </w:pPr>
            <w:r>
              <w:rPr>
                <w:rFonts w:hint="eastAsia" w:ascii="宋体" w:hAnsi="宋体" w:eastAsia="宋体" w:cs="宋体"/>
                <w:b/>
                <w:color w:val="000000"/>
                <w:sz w:val="21"/>
                <w:szCs w:val="21"/>
              </w:rPr>
              <w:t>2.顾客满意</w:t>
            </w:r>
          </w:p>
          <w:p>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公司通过电话，走访等形式，接受顾客反馈，了解顾客满意度信息，发放调查表对顾客满意度进行定量测量。</w:t>
            </w:r>
          </w:p>
          <w:p>
            <w:pPr>
              <w:spacing w:line="360" w:lineRule="auto"/>
              <w:ind w:firstLine="420" w:firstLineChars="200"/>
              <w:rPr>
                <w:rFonts w:hint="eastAsia" w:ascii="宋体" w:hAnsi="宋体" w:eastAsia="宋体" w:cs="宋体"/>
                <w:b/>
                <w:color w:val="000000"/>
                <w:sz w:val="21"/>
                <w:szCs w:val="21"/>
              </w:rPr>
            </w:pPr>
            <w:r>
              <w:rPr>
                <w:rFonts w:hint="eastAsia" w:ascii="宋体" w:hAnsi="宋体" w:eastAsia="宋体" w:cs="宋体"/>
                <w:sz w:val="21"/>
                <w:szCs w:val="21"/>
                <w:lang w:val="zh-CN"/>
              </w:rPr>
              <w:t>提供“顾客满意程度调查表”顾客较满意。</w:t>
            </w:r>
            <w:r>
              <w:rPr>
                <w:rFonts w:hint="eastAsia" w:ascii="宋体" w:hAnsi="宋体" w:eastAsia="宋体" w:cs="宋体"/>
                <w:b/>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360" w:lineRule="auto"/>
              <w:ind w:left="201" w:right="113" w:hanging="211" w:hangingChars="100"/>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3. 内审（包括内审策划审核方案中考虑拟审核的过程和区域的状况和重要性）</w:t>
            </w:r>
          </w:p>
          <w:p>
            <w:pPr>
              <w:spacing w:line="360" w:lineRule="auto"/>
              <w:rPr>
                <w:b/>
                <w:color w:val="000000" w:themeColor="text1"/>
                <w:sz w:val="21"/>
                <w:szCs w:val="21"/>
              </w:rPr>
            </w:pPr>
            <w:r>
              <w:rPr>
                <w:rFonts w:hint="eastAsia" w:asciiTheme="minorEastAsia" w:hAnsiTheme="minorEastAsia" w:eastAsiaTheme="minorEastAsia"/>
                <w:sz w:val="21"/>
                <w:szCs w:val="21"/>
                <w:u w:val="single"/>
              </w:rPr>
              <w:t>每年一次，本次20</w:t>
            </w:r>
            <w:r>
              <w:rPr>
                <w:rFonts w:hint="eastAsia" w:asciiTheme="minorEastAsia" w:hAnsiTheme="minorEastAsia" w:eastAsiaTheme="minorEastAsia"/>
                <w:sz w:val="21"/>
                <w:szCs w:val="21"/>
                <w:u w:val="single"/>
                <w:lang w:val="en-US" w:eastAsia="zh-CN"/>
              </w:rPr>
              <w:t>20</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8</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28</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8</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29</w:t>
            </w:r>
            <w:r>
              <w:rPr>
                <w:rFonts w:hint="eastAsia" w:asciiTheme="minorEastAsia" w:hAnsiTheme="minorEastAsia" w:eastAsiaTheme="minorEastAsia"/>
                <w:sz w:val="21"/>
                <w:szCs w:val="21"/>
                <w:u w:val="single"/>
              </w:rPr>
              <w:t>日内审。</w:t>
            </w:r>
          </w:p>
          <w:p>
            <w:pPr>
              <w:spacing w:line="360" w:lineRule="auto"/>
              <w:rPr>
                <w:b/>
                <w:color w:val="000000" w:themeColor="text1"/>
                <w:sz w:val="21"/>
                <w:szCs w:val="21"/>
              </w:rPr>
            </w:pPr>
            <w:r>
              <w:rPr>
                <w:rFonts w:hint="eastAsia"/>
                <w:b/>
                <w:color w:val="000000" w:themeColor="text1"/>
                <w:sz w:val="21"/>
                <w:szCs w:val="21"/>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覆盖。</w:t>
            </w:r>
          </w:p>
          <w:p>
            <w:pPr>
              <w:spacing w:line="360" w:lineRule="auto"/>
              <w:rPr>
                <w:b/>
                <w:color w:val="000000" w:themeColor="text1"/>
                <w:sz w:val="21"/>
                <w:szCs w:val="21"/>
              </w:rPr>
            </w:pPr>
            <w:r>
              <w:rPr>
                <w:rFonts w:hint="eastAsia"/>
                <w:b/>
                <w:color w:val="000000" w:themeColor="text1"/>
                <w:sz w:val="21"/>
                <w:szCs w:val="21"/>
              </w:rPr>
              <w:t>了解内审结论是什么？</w:t>
            </w:r>
          </w:p>
          <w:p>
            <w:pPr>
              <w:spacing w:line="240" w:lineRule="exact"/>
              <w:rPr>
                <w:rFonts w:hint="eastAsia" w:ascii="宋体" w:hAnsi="宋体" w:eastAsia="宋体" w:cs="宋体"/>
                <w:b/>
                <w:color w:val="000000"/>
                <w:sz w:val="21"/>
                <w:szCs w:val="21"/>
              </w:rPr>
            </w:pPr>
            <w:r>
              <w:rPr>
                <w:rFonts w:hint="eastAsia" w:ascii="宋体" w:hAnsi="宋体"/>
                <w:sz w:val="21"/>
                <w:szCs w:val="21"/>
                <w:u w:val="single"/>
              </w:rPr>
              <w:t>公司的管理体系符合标准要求，体系运行有效</w:t>
            </w:r>
            <w:r>
              <w:rPr>
                <w:rFonts w:hint="eastAsia" w:asciiTheme="minorEastAsia" w:hAnsiTheme="minorEastAsia" w:eastAsiaTheme="minorEastAsia"/>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360" w:lineRule="auto"/>
              <w:ind w:left="201" w:right="113" w:hanging="211" w:hangingChars="100"/>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4.管理评审（管理评审体系变更需求，纠正和预防措施、体系有效性等）</w:t>
            </w:r>
          </w:p>
          <w:p>
            <w:pPr>
              <w:spacing w:line="360" w:lineRule="auto"/>
              <w:rPr>
                <w:rFonts w:hint="eastAsia" w:ascii="宋体" w:hAnsi="宋体" w:eastAsia="宋体" w:cs="宋体"/>
                <w:sz w:val="21"/>
                <w:szCs w:val="21"/>
              </w:rPr>
            </w:pPr>
            <w:r>
              <w:rPr>
                <w:rFonts w:hint="eastAsia" w:ascii="宋体" w:hAnsi="宋体" w:eastAsia="宋体" w:cs="宋体"/>
                <w:sz w:val="21"/>
                <w:szCs w:val="21"/>
              </w:rPr>
              <w:t>公司依据：GB/T24001-2016标准进行管理评审</w:t>
            </w:r>
            <w:r>
              <w:rPr>
                <w:rFonts w:hint="eastAsia" w:ascii="宋体" w:hAnsi="宋体" w:cs="宋体"/>
                <w:sz w:val="21"/>
                <w:szCs w:val="21"/>
                <w:lang w:eastAsia="zh-CN"/>
              </w:rPr>
              <w:t>，</w:t>
            </w:r>
            <w:r>
              <w:rPr>
                <w:rFonts w:hint="eastAsia" w:ascii="宋体" w:hAnsi="宋体" w:eastAsia="宋体" w:cs="宋体"/>
                <w:sz w:val="21"/>
                <w:szCs w:val="21"/>
              </w:rPr>
              <w:t>目前按标准要求平稳运行，至今暂无变更情况发生。</w:t>
            </w:r>
          </w:p>
          <w:p>
            <w:pPr>
              <w:spacing w:line="360" w:lineRule="auto"/>
              <w:rPr>
                <w:rFonts w:hint="eastAsia" w:ascii="宋体" w:hAnsi="宋体" w:eastAsia="宋体" w:cs="宋体"/>
                <w:sz w:val="21"/>
                <w:szCs w:val="21"/>
              </w:rPr>
            </w:pPr>
            <w:r>
              <w:rPr>
                <w:rFonts w:hint="eastAsia" w:ascii="宋体" w:hAnsi="宋体" w:eastAsia="宋体" w:cs="宋体"/>
                <w:sz w:val="21"/>
                <w:szCs w:val="21"/>
              </w:rPr>
              <w:t>查阅公司管理评审资料：</w:t>
            </w:r>
          </w:p>
          <w:p>
            <w:pPr>
              <w:spacing w:line="360" w:lineRule="auto"/>
              <w:rPr>
                <w:rFonts w:hint="eastAsia" w:ascii="宋体" w:hAnsi="宋体" w:eastAsia="宋体" w:cs="宋体"/>
                <w:sz w:val="21"/>
                <w:szCs w:val="21"/>
              </w:rPr>
            </w:pPr>
            <w:r>
              <w:rPr>
                <w:rFonts w:hint="eastAsia" w:ascii="宋体" w:hAnsi="宋体" w:eastAsia="宋体" w:cs="宋体"/>
                <w:sz w:val="21"/>
                <w:szCs w:val="21"/>
              </w:rPr>
              <w:t>一、管理评审，评审时间：2019年</w:t>
            </w:r>
            <w:r>
              <w:rPr>
                <w:rFonts w:hint="eastAsia" w:ascii="宋体" w:hAnsi="宋体" w:eastAsia="宋体" w:cs="宋体"/>
                <w:sz w:val="21"/>
                <w:szCs w:val="21"/>
                <w:lang w:val="en-US" w:eastAsia="zh-CN"/>
              </w:rPr>
              <w:t>9</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日,评审方式：会议评审</w:t>
            </w:r>
          </w:p>
          <w:p>
            <w:pPr>
              <w:tabs>
                <w:tab w:val="right" w:leader="dot" w:pos="8190"/>
              </w:tabs>
              <w:adjustRightInd w:val="0"/>
              <w:spacing w:line="360" w:lineRule="auto"/>
              <w:rPr>
                <w:rFonts w:hint="eastAsia" w:ascii="宋体" w:hAnsi="宋体" w:eastAsia="宋体" w:cs="宋体"/>
                <w:color w:val="000000"/>
                <w:sz w:val="21"/>
                <w:szCs w:val="21"/>
              </w:rPr>
            </w:pPr>
            <w:r>
              <w:rPr>
                <w:rFonts w:hint="eastAsia" w:ascii="宋体" w:hAnsi="宋体" w:eastAsia="宋体" w:cs="宋体"/>
                <w:sz w:val="21"/>
                <w:szCs w:val="21"/>
              </w:rPr>
              <w:t>二、管理评审输入：</w:t>
            </w:r>
            <w:r>
              <w:rPr>
                <w:rFonts w:hint="eastAsia" w:ascii="宋体" w:hAnsi="宋体" w:eastAsia="宋体" w:cs="宋体"/>
                <w:color w:val="000000"/>
                <w:sz w:val="21"/>
                <w:szCs w:val="21"/>
              </w:rPr>
              <w:t>组织环境、相关方需求、风险和机遇、公司的管理方针、管理目标、指标的执行和完成情况；产品质量和顾客满意情况；资源的配备；纠正和预防措施情况；</w:t>
            </w:r>
          </w:p>
          <w:p>
            <w:pPr>
              <w:spacing w:line="360" w:lineRule="auto"/>
              <w:rPr>
                <w:rFonts w:hint="eastAsia" w:ascii="宋体" w:hAnsi="宋体" w:eastAsia="宋体" w:cs="宋体"/>
                <w:sz w:val="21"/>
                <w:szCs w:val="21"/>
              </w:rPr>
            </w:pPr>
            <w:r>
              <w:rPr>
                <w:rFonts w:hint="eastAsia" w:ascii="宋体" w:hAnsi="宋体" w:eastAsia="宋体" w:cs="宋体"/>
                <w:sz w:val="21"/>
                <w:szCs w:val="21"/>
              </w:rPr>
              <w:t>三、查看“管理评审报告”，报告中对本次管理评审做了总结，评价了公司建立、运行管理体系的效果。</w:t>
            </w:r>
          </w:p>
          <w:p>
            <w:pPr>
              <w:spacing w:line="360" w:lineRule="auto"/>
              <w:rPr>
                <w:rFonts w:hint="eastAsia" w:ascii="宋体" w:hAnsi="宋体" w:eastAsia="宋体" w:cs="宋体"/>
                <w:sz w:val="21"/>
                <w:szCs w:val="21"/>
              </w:rPr>
            </w:pPr>
            <w:r>
              <w:rPr>
                <w:rFonts w:hint="eastAsia" w:ascii="宋体" w:hAnsi="宋体" w:eastAsia="宋体" w:cs="宋体"/>
                <w:sz w:val="21"/>
                <w:szCs w:val="21"/>
              </w:rPr>
              <w:t>四、管理评审输出/评审结论：</w:t>
            </w:r>
          </w:p>
          <w:p>
            <w:pPr>
              <w:spacing w:line="360" w:lineRule="auto"/>
              <w:ind w:firstLine="210" w:firstLineChars="100"/>
              <w:rPr>
                <w:rFonts w:hint="eastAsia" w:ascii="宋体" w:hAnsi="宋体" w:eastAsia="宋体" w:cs="宋体"/>
                <w:b/>
                <w:color w:val="000000"/>
                <w:sz w:val="21"/>
                <w:szCs w:val="21"/>
              </w:rPr>
            </w:pPr>
            <w:r>
              <w:rPr>
                <w:rFonts w:hint="eastAsia" w:ascii="宋体" w:hAnsi="宋体" w:eastAsia="宋体" w:cs="宋体"/>
                <w:sz w:val="21"/>
                <w:szCs w:val="21"/>
              </w:rPr>
              <w:t>自体系建立以来，公司的管理体系运行全面展开，收到良好的效果，经评审认为本公司的质量管理体系的建立和运行是充分的、适宜的、有效的。已具备了认证审核的条件。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5.  EMS是否按规定对主要污染物（污水、废气、噪声、废渣等）及排放实施了例行的监视或测量，结果是否满足相关要求？</w:t>
            </w:r>
          </w:p>
          <w:p>
            <w:pPr>
              <w:spacing w:line="360" w:lineRule="auto"/>
              <w:ind w:firstLine="205" w:firstLineChars="98"/>
              <w:rPr>
                <w:rFonts w:hint="eastAsia" w:ascii="宋体" w:hAnsi="宋体" w:eastAsia="宋体" w:cs="宋体"/>
                <w:b/>
                <w:color w:val="000000"/>
                <w:sz w:val="21"/>
                <w:szCs w:val="21"/>
                <w:lang w:val="en-US" w:eastAsia="zh-CN"/>
              </w:rPr>
            </w:pPr>
            <w:r>
              <w:rPr>
                <w:rFonts w:hint="eastAsia" w:ascii="宋体" w:hAnsi="宋体" w:eastAsia="宋体" w:cs="宋体"/>
                <w:sz w:val="21"/>
                <w:szCs w:val="21"/>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6.  EMS国家/地方环保部门监测结果、新改扩建项目符合环评报告、三同时验收报告要求情况及措施</w:t>
            </w:r>
            <w:r>
              <w:rPr>
                <w:rFonts w:hint="eastAsia" w:ascii="宋体" w:hAnsi="宋体" w:cs="宋体"/>
                <w:b/>
                <w:color w:val="000000"/>
                <w:sz w:val="21"/>
                <w:szCs w:val="21"/>
                <w:lang w:eastAsia="zh-CN"/>
              </w:rPr>
              <w:t>，</w:t>
            </w:r>
            <w:r>
              <w:rPr>
                <w:rFonts w:hint="eastAsia" w:ascii="宋体" w:hAnsi="宋体" w:cs="宋体"/>
                <w:b/>
                <w:color w:val="000000"/>
                <w:sz w:val="21"/>
                <w:szCs w:val="21"/>
                <w:lang w:val="en-US" w:eastAsia="zh-CN"/>
              </w:rPr>
              <w:t>否</w:t>
            </w:r>
          </w:p>
          <w:p>
            <w:pPr>
              <w:spacing w:line="360" w:lineRule="auto"/>
              <w:ind w:firstLine="420" w:firstLineChars="200"/>
              <w:rPr>
                <w:rFonts w:hint="eastAsia" w:ascii="宋体" w:hAnsi="宋体" w:eastAsia="宋体" w:cs="宋体"/>
                <w:b/>
                <w:color w:val="000000"/>
                <w:sz w:val="21"/>
                <w:szCs w:val="21"/>
              </w:rPr>
            </w:pPr>
            <w:r>
              <w:rPr>
                <w:rFonts w:hint="eastAsia" w:ascii="宋体" w:hAnsi="宋体" w:eastAsia="宋体" w:cs="宋体"/>
                <w:sz w:val="21"/>
                <w:szCs w:val="21"/>
              </w:rPr>
              <w:t>提供20</w:t>
            </w:r>
            <w:r>
              <w:rPr>
                <w:rFonts w:hint="eastAsia" w:ascii="宋体" w:hAnsi="宋体" w:eastAsia="宋体" w:cs="宋体"/>
                <w:sz w:val="21"/>
                <w:szCs w:val="21"/>
                <w:lang w:val="en-US" w:eastAsia="zh-CN"/>
              </w:rPr>
              <w:t>18</w:t>
            </w:r>
            <w:r>
              <w:rPr>
                <w:rFonts w:hint="eastAsia" w:ascii="宋体" w:hAnsi="宋体" w:eastAsia="宋体" w:cs="宋体"/>
                <w:sz w:val="21"/>
                <w:szCs w:val="21"/>
              </w:rPr>
              <w:t>年</w:t>
            </w:r>
            <w:r>
              <w:rPr>
                <w:rFonts w:hint="eastAsia" w:ascii="宋体" w:hAnsi="宋体" w:eastAsia="宋体" w:cs="宋体"/>
                <w:sz w:val="21"/>
                <w:szCs w:val="21"/>
                <w:lang w:val="en-US" w:eastAsia="zh-CN"/>
              </w:rPr>
              <w:t>9</w:t>
            </w:r>
            <w:r>
              <w:rPr>
                <w:rFonts w:hint="eastAsia" w:ascii="宋体" w:hAnsi="宋体" w:eastAsia="宋体" w:cs="宋体"/>
                <w:sz w:val="21"/>
                <w:szCs w:val="21"/>
              </w:rPr>
              <w:t>月</w:t>
            </w:r>
            <w:r>
              <w:rPr>
                <w:rFonts w:hint="eastAsia" w:ascii="宋体" w:hAnsi="宋体" w:eastAsia="宋体" w:cs="宋体"/>
                <w:sz w:val="21"/>
                <w:szCs w:val="21"/>
                <w:lang w:val="en-US" w:eastAsia="zh-CN"/>
              </w:rPr>
              <w:t>11日宝鸡天健工贸有限公司汽车零部件生产线建设项目环境影响登记表，内容及规模：年生产重型汽车变速箱壳体及离合器壳体10万件，产值3500万元，备案号：201961030400000286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7. OHSMS是否按规定对职业健康安全项目进行定期测量，结果是否满足相关要求：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8.OHSMS国家/地方职业健康安全部门监督检查情况及措施</w:t>
            </w:r>
          </w:p>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widowControl/>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9. 其他能够标明组织绩效、信誉的证据/信息：</w:t>
            </w:r>
          </w:p>
          <w:p>
            <w:pPr>
              <w:widowControl/>
              <w:spacing w:line="360" w:lineRule="auto"/>
              <w:ind w:firstLine="207" w:firstLineChars="98"/>
              <w:rPr>
                <w:rFonts w:hint="eastAsia" w:ascii="宋体" w:hAnsi="宋体" w:eastAsia="宋体" w:cs="宋体"/>
                <w:b/>
                <w:color w:val="000000"/>
                <w:sz w:val="21"/>
                <w:szCs w:val="21"/>
              </w:rPr>
            </w:pPr>
            <w:r>
              <w:rPr>
                <w:rFonts w:hint="eastAsia" w:ascii="宋体" w:hAnsi="宋体" w:eastAsia="宋体" w:cs="宋体"/>
                <w:b/>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360" w:lineRule="auto"/>
              <w:ind w:left="113"/>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(五)持续改进</w:t>
            </w: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1 纠正/预防措施的实施及效果</w:t>
            </w:r>
            <w:r>
              <w:rPr>
                <w:rFonts w:hint="eastAsia" w:ascii="宋体" w:hAnsi="宋体" w:eastAsia="宋体" w:cs="宋体"/>
                <w:b/>
                <w:color w:val="000000"/>
                <w:spacing w:val="-8"/>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企业自体系建立以来，通过内审的改进、管理评审；纠正措施的实施、顾客满意度调查等措施，采取了具体的改进措施。基本符合要求。</w:t>
            </w:r>
          </w:p>
          <w:p>
            <w:pPr>
              <w:spacing w:line="360" w:lineRule="auto"/>
              <w:rPr>
                <w:rFonts w:hint="eastAsia" w:ascii="宋体" w:hAnsi="宋体" w:eastAsia="宋体" w:cs="宋体"/>
                <w:b/>
                <w:color w:val="000000"/>
                <w:sz w:val="21"/>
                <w:szCs w:val="21"/>
              </w:rPr>
            </w:pPr>
            <w:r>
              <w:rPr>
                <w:rFonts w:hint="eastAsia" w:ascii="宋体" w:hAnsi="宋体" w:eastAsia="宋体" w:cs="宋体"/>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pacing w:val="-20"/>
                <w:sz w:val="21"/>
                <w:szCs w:val="21"/>
              </w:rPr>
            </w:pPr>
            <w:r>
              <w:rPr>
                <w:rFonts w:hint="eastAsia" w:ascii="宋体" w:hAnsi="宋体" w:eastAsia="宋体" w:cs="宋体"/>
                <w:b/>
                <w:color w:val="000000"/>
                <w:spacing w:val="-20"/>
                <w:sz w:val="21"/>
                <w:szCs w:val="21"/>
              </w:rPr>
              <w:t>2（近一年）重大事故、顾客/相关方投诉：：</w:t>
            </w:r>
          </w:p>
          <w:p>
            <w:pPr>
              <w:spacing w:line="360" w:lineRule="auto"/>
              <w:ind w:firstLine="207" w:firstLineChars="98"/>
              <w:rPr>
                <w:rFonts w:hint="eastAsia" w:ascii="宋体" w:hAnsi="宋体" w:eastAsia="宋体" w:cs="宋体"/>
                <w:b/>
                <w:color w:val="000000"/>
                <w:sz w:val="21"/>
                <w:szCs w:val="21"/>
              </w:rPr>
            </w:pPr>
            <w:r>
              <w:rPr>
                <w:rFonts w:hint="eastAsia" w:ascii="宋体" w:hAnsi="宋体" w:eastAsia="宋体" w:cs="宋体"/>
                <w:b/>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3. 一阶段提出问题的整改情况?</w:t>
            </w:r>
          </w:p>
          <w:p>
            <w:pPr>
              <w:spacing w:line="360" w:lineRule="auto"/>
              <w:rPr>
                <w:rFonts w:hint="eastAsia" w:ascii="宋体" w:hAnsi="宋体" w:eastAsia="宋体" w:cs="宋体"/>
                <w:color w:val="000000"/>
                <w:spacing w:val="-20"/>
                <w:sz w:val="21"/>
                <w:szCs w:val="21"/>
              </w:rPr>
            </w:pPr>
            <w:r>
              <w:rPr>
                <w:rFonts w:hint="eastAsia" w:ascii="宋体" w:hAnsi="宋体" w:eastAsia="宋体" w:cs="宋体"/>
                <w:b/>
                <w:color w:val="000000"/>
                <w:spacing w:val="-20"/>
                <w:sz w:val="21"/>
                <w:szCs w:val="21"/>
              </w:rPr>
              <w:t xml:space="preserve">     </w:t>
            </w:r>
            <w:r>
              <w:rPr>
                <w:rFonts w:hint="eastAsia" w:ascii="宋体" w:hAnsi="宋体" w:eastAsia="宋体" w:cs="宋体"/>
                <w:color w:val="000000"/>
                <w:spacing w:val="-20"/>
                <w:sz w:val="21"/>
                <w:szCs w:val="21"/>
              </w:rPr>
              <w:t>已整改完毕。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4.创新情况;无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360" w:lineRule="auto"/>
              <w:jc w:val="center"/>
              <w:rPr>
                <w:rFonts w:hint="eastAsia" w:ascii="宋体" w:hAnsi="宋体" w:eastAsia="宋体" w:cs="宋体"/>
                <w:b/>
                <w:color w:val="000000"/>
                <w:sz w:val="21"/>
                <w:szCs w:val="21"/>
              </w:rPr>
            </w:pPr>
          </w:p>
        </w:tc>
        <w:tc>
          <w:tcPr>
            <w:tcW w:w="9198" w:type="dxa"/>
          </w:tcPr>
          <w:p>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5. 上次不符合的整改情况（再认证填写）  无</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10"/>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2"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10"/>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p>
          <w:p>
            <w:pPr>
              <w:spacing w:line="360" w:lineRule="auto"/>
              <w:ind w:firstLine="420" w:firstLineChars="200"/>
              <w:rPr>
                <w:rFonts w:ascii="宋体" w:hAnsi="宋体"/>
                <w:b/>
                <w:szCs w:val="21"/>
              </w:rPr>
            </w:pPr>
            <w:r>
              <w:rPr>
                <w:rFonts w:hint="eastAsia" w:ascii="宋体" w:hAnsi="宋体"/>
                <w:b w:val="0"/>
                <w:bCs/>
                <w:sz w:val="21"/>
                <w:szCs w:val="21"/>
              </w:rPr>
              <w:t>组织建立并实施的管理体系基本符合标准要求，可能存在的重要风险可以得到有效控制，没有出现过环境事故以及顾客投诉事件发生，体系运行基本有效，组织初步建立了自我完善和自我改进机制。现场开具的不符合项在规定的期限内采取纠正措施并经审核组书面验证有效后，同意推荐认证注册</w:t>
            </w:r>
            <w:r>
              <w:rPr>
                <w:rFonts w:hint="eastAsia" w:ascii="宋体" w:hAnsi="宋体"/>
                <w:b w:val="0"/>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b/>
          <w:sz w:val="21"/>
        </w:rPr>
      </w:pPr>
      <w:r>
        <w:drawing>
          <wp:anchor distT="0" distB="0" distL="114300" distR="114300" simplePos="0" relativeHeight="251666432" behindDoc="0" locked="0" layoutInCell="1" allowOverlap="1">
            <wp:simplePos x="0" y="0"/>
            <wp:positionH relativeFrom="column">
              <wp:posOffset>2156460</wp:posOffset>
            </wp:positionH>
            <wp:positionV relativeFrom="paragraph">
              <wp:posOffset>60960</wp:posOffset>
            </wp:positionV>
            <wp:extent cx="351155" cy="278130"/>
            <wp:effectExtent l="0" t="0" r="4445"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51155" cy="278130"/>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2020.12.17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line="480" w:lineRule="auto"/>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line="480" w:lineRule="auto"/>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line="480" w:lineRule="auto"/>
        <w:ind w:firstLine="823" w:firstLineChars="343"/>
        <w:rPr>
          <w:rFonts w:hint="default" w:eastAsia="宋体"/>
          <w:lang w:val="en-US" w:eastAsia="zh-CN"/>
        </w:rPr>
      </w:pPr>
      <w:r>
        <w:drawing>
          <wp:anchor distT="0" distB="0" distL="114300" distR="114300" simplePos="0" relativeHeight="251665408" behindDoc="0" locked="0" layoutInCell="1" allowOverlap="1">
            <wp:simplePos x="0" y="0"/>
            <wp:positionH relativeFrom="column">
              <wp:posOffset>1280160</wp:posOffset>
            </wp:positionH>
            <wp:positionV relativeFrom="paragraph">
              <wp:posOffset>10795</wp:posOffset>
            </wp:positionV>
            <wp:extent cx="423545" cy="334645"/>
            <wp:effectExtent l="0" t="0" r="8255"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23545" cy="334645"/>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2020.12.19</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600" w:lineRule="auto"/>
        <w:rPr>
          <w:b/>
          <w:sz w:val="26"/>
          <w:szCs w:val="26"/>
        </w:rPr>
      </w:pPr>
      <w:r>
        <w:rPr>
          <w:rFonts w:hint="eastAsia"/>
          <w:b/>
          <w:sz w:val="26"/>
          <w:szCs w:val="26"/>
        </w:rPr>
        <w:t>十五、认证评定与批准</w:t>
      </w:r>
      <w:bookmarkStart w:id="30" w:name="_GoBack"/>
      <w:bookmarkEnd w:id="30"/>
    </w:p>
    <w:p>
      <w:pPr>
        <w:numPr>
          <w:ilvl w:val="0"/>
          <w:numId w:val="3"/>
        </w:numPr>
        <w:spacing w:line="60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60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60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60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98" w:leftChars="-41" w:firstLine="810" w:firstLineChars="450"/>
      <w:jc w:val="left"/>
      <w:rPr>
        <w:rStyle w:val="18"/>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8"/>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tentative="0">
      <w:start w:val="5"/>
      <w:numFmt w:val="decimal"/>
      <w:suff w:val="nothing"/>
      <w:lvlText w:val="%1、"/>
      <w:lvlJc w:val="left"/>
    </w:lvl>
  </w:abstractNum>
  <w:abstractNum w:abstractNumId="2">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DD0250"/>
    <w:rsid w:val="1B4A041F"/>
    <w:rsid w:val="72FE33F1"/>
    <w:rsid w:val="737A789B"/>
    <w:rsid w:val="7C9912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semiHidden/>
    <w:unhideWhenUsed/>
    <w:qFormat/>
    <w:uiPriority w:val="99"/>
    <w:pPr>
      <w:spacing w:after="120"/>
    </w:pPr>
  </w:style>
  <w:style w:type="paragraph" w:styleId="5">
    <w:name w:val="Body Text Indent"/>
    <w:basedOn w:val="1"/>
    <w:qFormat/>
    <w:uiPriority w:val="99"/>
    <w:pPr>
      <w:spacing w:after="120"/>
      <w:ind w:left="420" w:leftChars="200"/>
    </w:pPr>
    <w:rPr>
      <w:kern w:val="0"/>
      <w:sz w:val="24"/>
    </w:rPr>
  </w:style>
  <w:style w:type="paragraph" w:styleId="6">
    <w:name w:val="Balloon Text"/>
    <w:basedOn w:val="1"/>
    <w:link w:val="13"/>
    <w:semiHidden/>
    <w:qFormat/>
    <w:uiPriority w:val="99"/>
    <w:rPr>
      <w:sz w:val="18"/>
      <w:szCs w:val="18"/>
    </w:rPr>
  </w:style>
  <w:style w:type="paragraph" w:styleId="7">
    <w:name w:val="footer"/>
    <w:basedOn w:val="1"/>
    <w:link w:val="14"/>
    <w:semiHidden/>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Body Text First Indent 2"/>
    <w:basedOn w:val="5"/>
    <w:qFormat/>
    <w:uiPriority w:val="99"/>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semiHidden/>
    <w:qFormat/>
    <w:locked/>
    <w:uiPriority w:val="99"/>
    <w:rPr>
      <w:rFonts w:ascii="Times New Roman" w:hAnsi="Times New Roman" w:eastAsia="宋体" w:cs="Times New Roman"/>
      <w:sz w:val="18"/>
      <w:szCs w:val="18"/>
    </w:rPr>
  </w:style>
  <w:style w:type="character" w:customStyle="1" w:styleId="15">
    <w:name w:val="页眉 Char"/>
    <w:link w:val="8"/>
    <w:qFormat/>
    <w:locked/>
    <w:uiPriority w:val="0"/>
    <w:rPr>
      <w:sz w:val="18"/>
    </w:rPr>
  </w:style>
  <w:style w:type="character" w:customStyle="1" w:styleId="16">
    <w:name w:val="页眉 Char1"/>
    <w:semiHidden/>
    <w:qFormat/>
    <w:uiPriority w:val="99"/>
    <w:rPr>
      <w:rFonts w:ascii="Times New Roman" w:hAnsi="Times New Roman" w:eastAsia="宋体" w:cs="Times New Roman"/>
      <w:sz w:val="18"/>
      <w:szCs w:val="18"/>
    </w:rPr>
  </w:style>
  <w:style w:type="paragraph" w:styleId="17">
    <w:name w:val="List Paragraph"/>
    <w:basedOn w:val="1"/>
    <w:qFormat/>
    <w:uiPriority w:val="99"/>
    <w:pPr>
      <w:ind w:firstLine="420" w:firstLineChars="200"/>
    </w:pPr>
    <w:rPr>
      <w:sz w:val="21"/>
      <w:szCs w:val="24"/>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2020-12-21T15:12:57Z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