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奥宸科技有限公司</w:t>
      </w:r>
      <w:bookmarkEnd w:id="1"/>
    </w:p>
    <w:p>
      <w:pPr>
        <w:spacing w:line="360" w:lineRule="auto"/>
        <w:jc w:val="left"/>
        <w:rPr>
          <w:rFonts w:ascii="宋体" w:hAnsi="宋体"/>
          <w:spacing w:val="32"/>
          <w:sz w:val="32"/>
          <w:u w:val="single"/>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rPr>
        <w:t>0002-2019-2020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2020</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0002-2019-2020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奥宸科技有限公司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尹昊</w:t>
            </w:r>
            <w:bookmarkStart w:id="11" w:name="_GoBack"/>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5" w:name="证书编号"/>
            <w:r>
              <w:rPr>
                <w:rFonts w:cs="宋体" w:asciiTheme="minorEastAsia" w:hAnsiTheme="minorEastAsia"/>
                <w:kern w:val="0"/>
                <w:szCs w:val="21"/>
              </w:rPr>
              <w:t>ISC-2019-0375</w:t>
            </w:r>
            <w:bookmarkEnd w:id="5"/>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6" w:name="证书有效期"/>
            <w:r>
              <w:rPr>
                <w:rFonts w:cs="宋体" w:asciiTheme="minorEastAsia" w:hAnsiTheme="minorEastAsia"/>
                <w:kern w:val="0"/>
                <w:szCs w:val="21"/>
              </w:rPr>
              <w:t>2024-01-14 0:00:00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7" w:name="监督次数"/>
            <w:r>
              <w:rPr>
                <w:rFonts w:cs="宋体" w:asciiTheme="minorEastAsia" w:hAnsiTheme="minorEastAsia"/>
                <w:kern w:val="0"/>
                <w:szCs w:val="21"/>
              </w:rPr>
              <w:t>二</w:t>
            </w:r>
            <w:bookmarkEnd w:id="7"/>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2020年12月16日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spacing w:line="360" w:lineRule="auto"/>
              <w:jc w:val="both"/>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 xml:space="preserve">王玉玲  </w:t>
            </w:r>
          </w:p>
          <w:p>
            <w:pPr>
              <w:spacing w:line="360" w:lineRule="auto"/>
              <w:jc w:val="both"/>
              <w:rPr>
                <w:rFonts w:hint="eastAsia" w:ascii="宋体" w:hAnsi="宋体"/>
                <w:szCs w:val="21"/>
              </w:rPr>
            </w:pPr>
            <w:r>
              <w:rPr>
                <w:rFonts w:hint="eastAsia" w:ascii="宋体" w:hAnsi="宋体"/>
                <w:szCs w:val="21"/>
              </w:rPr>
              <w:t>中认协注-{201</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98</w:t>
            </w:r>
            <w:r>
              <w:rPr>
                <w:rFonts w:hint="eastAsia" w:ascii="宋体" w:hAnsi="宋体"/>
                <w:szCs w:val="21"/>
              </w:rPr>
              <w:t>号</w:t>
            </w:r>
          </w:p>
          <w:p>
            <w:pPr>
              <w:spacing w:line="360" w:lineRule="auto"/>
              <w:jc w:val="both"/>
              <w:rPr>
                <w:rFonts w:hint="eastAsia" w:ascii="宋体" w:hAnsi="宋体"/>
                <w:szCs w:val="21"/>
                <w:lang w:val="en-US" w:eastAsia="zh-CN"/>
              </w:rPr>
            </w:pPr>
            <w:r>
              <w:rPr>
                <w:rFonts w:hint="eastAsia" w:ascii="宋体" w:hAnsi="宋体"/>
                <w:szCs w:val="21"/>
                <w:lang w:val="en-US" w:eastAsia="zh-CN"/>
              </w:rPr>
              <w:t>ISC</w:t>
            </w:r>
            <w:r>
              <w:rPr>
                <w:rFonts w:ascii="宋体" w:hAnsi="宋体"/>
                <w:szCs w:val="21"/>
              </w:rPr>
              <w:t>[S]</w:t>
            </w:r>
            <w:r>
              <w:rPr>
                <w:rFonts w:hint="eastAsia" w:ascii="宋体" w:hAnsi="宋体"/>
                <w:szCs w:val="21"/>
                <w:lang w:val="en-US" w:eastAsia="zh-CN"/>
              </w:rPr>
              <w:t>0006</w:t>
            </w:r>
          </w:p>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559" w:type="dxa"/>
          </w:tcPr>
          <w:p>
            <w:pPr>
              <w:jc w:val="center"/>
              <w:rPr>
                <w:rFonts w:hint="default" w:ascii="宋体" w:hAnsi="宋体" w:eastAsia="宋体" w:cs="宋体"/>
                <w:bCs/>
                <w:sz w:val="21"/>
                <w:szCs w:val="21"/>
                <w:lang w:val="en-US" w:eastAsia="zh-CN"/>
              </w:rPr>
            </w:pPr>
            <w:r>
              <w:rPr>
                <w:rFonts w:hint="eastAsia" w:ascii="宋体" w:hAnsi="宋体" w:eastAsia="宋体" w:cs="宋体"/>
                <w:bCs/>
                <w:sz w:val="21"/>
                <w:szCs w:val="21"/>
              </w:rPr>
              <w:t>管理层</w:t>
            </w:r>
            <w:r>
              <w:rPr>
                <w:rFonts w:hint="eastAsia" w:ascii="宋体" w:hAnsi="宋体" w:eastAsia="宋体" w:cs="宋体"/>
                <w:bCs/>
                <w:sz w:val="21"/>
                <w:szCs w:val="21"/>
                <w:lang w:val="en-US" w:eastAsia="zh-CN"/>
              </w:rPr>
              <w:t>/技术质量部/采购部</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eastAsia="宋体" w:cs="宋体"/>
                <w:bCs/>
                <w:sz w:val="21"/>
                <w:szCs w:val="21"/>
                <w:lang w:val="en-US" w:eastAsia="zh-CN"/>
              </w:rPr>
              <w:t>/生产部/</w:t>
            </w:r>
            <w:r>
              <w:rPr>
                <w:rFonts w:hint="eastAsia" w:ascii="宋体" w:hAnsi="宋体" w:eastAsia="宋体" w:cs="宋体"/>
                <w:bCs/>
                <w:sz w:val="21"/>
                <w:szCs w:val="21"/>
              </w:rPr>
              <w:t>办公室</w:t>
            </w:r>
            <w:r>
              <w:rPr>
                <w:rFonts w:hint="eastAsia" w:ascii="宋体" w:hAnsi="宋体" w:eastAsia="宋体" w:cs="宋体"/>
                <w:bCs/>
                <w:sz w:val="21"/>
                <w:szCs w:val="21"/>
                <w:lang w:val="en-US" w:eastAsia="zh-CN"/>
              </w:rPr>
              <w:t>/销售部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ind w:firstLine="210" w:firstLineChars="100"/>
        <w:rPr>
          <w:rFonts w:hint="eastAsia"/>
          <w:bCs/>
          <w:sz w:val="24"/>
          <w:szCs w:val="24"/>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r>
        <w:rPr>
          <w:rFonts w:hint="eastAsia"/>
          <w:bCs/>
          <w:sz w:val="24"/>
          <w:szCs w:val="24"/>
        </w:rPr>
        <w:t xml:space="preserve"> </w:t>
      </w:r>
    </w:p>
    <w:p>
      <w:pPr>
        <w:widowControl/>
        <w:spacing w:line="360" w:lineRule="auto"/>
        <w:ind w:firstLine="240" w:firstLineChars="100"/>
        <w:rPr>
          <w:rFonts w:cs="宋体" w:asciiTheme="minorEastAsia" w:hAnsiTheme="minorEastAsia"/>
          <w:bCs/>
          <w:kern w:val="0"/>
          <w:sz w:val="24"/>
          <w:szCs w:val="24"/>
        </w:rPr>
      </w:pPr>
      <w:r>
        <w:rPr>
          <w:rFonts w:cs="宋体" w:asciiTheme="minorEastAsia" w:hAnsiTheme="minorEastAsia"/>
          <w:bCs/>
          <w:kern w:val="0"/>
          <w:sz w:val="24"/>
          <w:szCs w:val="24"/>
        </w:rPr>
        <w:t>一年内</w:t>
      </w:r>
      <w:r>
        <w:rPr>
          <w:rFonts w:hint="eastAsia" w:cs="宋体" w:asciiTheme="minorEastAsia" w:hAnsiTheme="minorEastAsia"/>
          <w:bCs/>
          <w:kern w:val="0"/>
          <w:sz w:val="24"/>
          <w:szCs w:val="24"/>
        </w:rPr>
        <w:t>，</w:t>
      </w:r>
      <w:r>
        <w:rPr>
          <w:rFonts w:hint="eastAsia" w:ascii="宋体" w:hAnsi="宋体"/>
          <w:sz w:val="24"/>
          <w:szCs w:val="24"/>
        </w:rPr>
        <w:t>公司</w:t>
      </w:r>
      <w:r>
        <w:rPr>
          <w:rFonts w:hint="eastAsia"/>
          <w:bCs/>
          <w:sz w:val="24"/>
          <w:szCs w:val="24"/>
        </w:rPr>
        <w:t>日常运行中生产、经营、</w:t>
      </w:r>
      <w:r>
        <w:rPr>
          <w:rFonts w:hint="eastAsia"/>
          <w:bCs/>
          <w:sz w:val="24"/>
          <w:szCs w:val="24"/>
          <w:lang w:val="en-US" w:eastAsia="zh-CN"/>
        </w:rPr>
        <w:t>环境、</w:t>
      </w:r>
      <w:r>
        <w:rPr>
          <w:rFonts w:hint="eastAsia"/>
          <w:bCs/>
          <w:sz w:val="24"/>
          <w:szCs w:val="24"/>
        </w:rPr>
        <w:t>安全、销售及管理方面</w:t>
      </w:r>
      <w:r>
        <w:rPr>
          <w:rFonts w:hint="eastAsia"/>
          <w:bCs/>
          <w:sz w:val="24"/>
          <w:szCs w:val="24"/>
          <w:lang w:val="en-US" w:eastAsia="zh-CN"/>
        </w:rPr>
        <w:t>比去年都有一定提升，</w:t>
      </w:r>
      <w:r>
        <w:rPr>
          <w:rFonts w:hint="eastAsia"/>
          <w:bCs/>
          <w:sz w:val="24"/>
          <w:szCs w:val="24"/>
        </w:rPr>
        <w:t>未</w:t>
      </w:r>
      <w:r>
        <w:rPr>
          <w:rFonts w:hint="eastAsia"/>
          <w:bCs/>
          <w:sz w:val="24"/>
          <w:szCs w:val="24"/>
          <w:lang w:val="en-US" w:eastAsia="zh-CN"/>
        </w:rPr>
        <w:t>见</w:t>
      </w:r>
      <w:r>
        <w:rPr>
          <w:rFonts w:cs="宋体" w:asciiTheme="minorEastAsia" w:hAnsiTheme="minorEastAsia"/>
          <w:bCs/>
          <w:kern w:val="0"/>
          <w:sz w:val="24"/>
          <w:szCs w:val="24"/>
        </w:rPr>
        <w:t>违反法律</w:t>
      </w:r>
      <w:r>
        <w:rPr>
          <w:rFonts w:hint="eastAsia" w:cs="宋体" w:asciiTheme="minorEastAsia" w:hAnsiTheme="minorEastAsia"/>
          <w:bCs/>
          <w:kern w:val="0"/>
          <w:sz w:val="24"/>
          <w:szCs w:val="24"/>
        </w:rPr>
        <w:t>、</w:t>
      </w:r>
      <w:r>
        <w:rPr>
          <w:rFonts w:cs="宋体" w:asciiTheme="minorEastAsia" w:hAnsiTheme="minorEastAsia"/>
          <w:bCs/>
          <w:kern w:val="0"/>
          <w:sz w:val="24"/>
          <w:szCs w:val="24"/>
        </w:rPr>
        <w:t>法规</w:t>
      </w:r>
      <w:r>
        <w:rPr>
          <w:rFonts w:hint="eastAsia" w:cs="宋体" w:asciiTheme="minorEastAsia" w:hAnsiTheme="minorEastAsia"/>
          <w:bCs/>
          <w:kern w:val="0"/>
          <w:sz w:val="24"/>
          <w:szCs w:val="24"/>
        </w:rPr>
        <w:t>问题或</w:t>
      </w:r>
      <w:r>
        <w:rPr>
          <w:rFonts w:cs="宋体" w:asciiTheme="minorEastAsia" w:hAnsiTheme="minorEastAsia"/>
          <w:bCs/>
          <w:kern w:val="0"/>
          <w:sz w:val="24"/>
          <w:szCs w:val="24"/>
        </w:rPr>
        <w:t>重大</w:t>
      </w:r>
      <w:r>
        <w:rPr>
          <w:rFonts w:hint="eastAsia" w:cs="宋体" w:asciiTheme="minorEastAsia" w:hAnsiTheme="minorEastAsia"/>
          <w:bCs/>
          <w:kern w:val="0"/>
          <w:sz w:val="24"/>
          <w:szCs w:val="24"/>
          <w:lang w:val="en-US" w:eastAsia="zh-CN"/>
        </w:rPr>
        <w:t>质量</w:t>
      </w:r>
      <w:r>
        <w:rPr>
          <w:rFonts w:cs="宋体" w:asciiTheme="minorEastAsia" w:hAnsiTheme="minorEastAsia"/>
          <w:bCs/>
          <w:kern w:val="0"/>
          <w:sz w:val="24"/>
          <w:szCs w:val="24"/>
        </w:rPr>
        <w:t>事故</w:t>
      </w:r>
      <w:r>
        <w:rPr>
          <w:rFonts w:hint="eastAsia" w:cs="宋体" w:asciiTheme="minorEastAsia" w:hAnsiTheme="minorEastAsia"/>
          <w:bCs/>
          <w:kern w:val="0"/>
          <w:sz w:val="24"/>
          <w:szCs w:val="24"/>
        </w:rPr>
        <w:t>发生。</w:t>
      </w:r>
    </w:p>
    <w:p>
      <w:pPr>
        <w:widowControl/>
        <w:spacing w:line="276" w:lineRule="auto"/>
        <w:rPr>
          <w:rFonts w:cs="宋体" w:asciiTheme="minorEastAsia" w:hAnsiTheme="minorEastAsia"/>
          <w:bCs/>
          <w:kern w:val="0"/>
          <w:szCs w:val="21"/>
        </w:rPr>
      </w:pPr>
    </w:p>
    <w:p>
      <w:pPr>
        <w:numPr>
          <w:ilvl w:val="0"/>
          <w:numId w:val="1"/>
        </w:numPr>
        <w:spacing w:line="360" w:lineRule="auto"/>
        <w:ind w:right="-512" w:rightChars="-244"/>
        <w:rPr>
          <w:rFonts w:hint="eastAsia" w:ascii="宋体" w:hAnsi="宋体"/>
          <w:sz w:val="24"/>
          <w:szCs w:val="24"/>
          <w:lang w:val="en-US" w:eastAsia="zh-CN"/>
        </w:rPr>
      </w:pPr>
      <w:r>
        <w:rPr>
          <w:rFonts w:cs="宋体" w:asciiTheme="minorEastAsia" w:hAnsiTheme="minorEastAsia"/>
          <w:bCs/>
          <w:kern w:val="0"/>
          <w:szCs w:val="21"/>
        </w:rPr>
        <w:t>监督审核过程简述：</w:t>
      </w:r>
      <w:r>
        <w:rPr>
          <w:rFonts w:hint="eastAsia" w:ascii="宋体" w:hAnsi="宋体"/>
          <w:sz w:val="24"/>
          <w:szCs w:val="24"/>
          <w:lang w:val="en-US" w:eastAsia="zh-CN"/>
        </w:rPr>
        <w:t xml:space="preserve"> </w:t>
      </w:r>
    </w:p>
    <w:p>
      <w:pPr>
        <w:spacing w:line="360" w:lineRule="auto"/>
        <w:ind w:right="-512" w:rightChars="-244" w:firstLine="480" w:firstLineChars="200"/>
        <w:rPr>
          <w:rFonts w:ascii="宋体" w:hAnsi="宋体"/>
          <w:sz w:val="24"/>
          <w:szCs w:val="24"/>
        </w:rPr>
      </w:pPr>
      <w:r>
        <w:rPr>
          <w:rFonts w:hint="eastAsia" w:ascii="宋体" w:hAnsi="宋体"/>
          <w:sz w:val="24"/>
          <w:szCs w:val="24"/>
        </w:rPr>
        <w:t>为有效评价公司测量管理体系认证后一年以来运行情况，在</w:t>
      </w:r>
      <w:r>
        <w:rPr>
          <w:rFonts w:hint="eastAsia" w:ascii="宋体" w:hAnsi="宋体"/>
          <w:sz w:val="24"/>
          <w:szCs w:val="24"/>
          <w:lang w:eastAsia="zh-CN"/>
        </w:rPr>
        <w:t>奥宸科技</w:t>
      </w:r>
      <w:r>
        <w:rPr>
          <w:rFonts w:hint="eastAsia" w:ascii="宋体" w:hAnsi="宋体"/>
          <w:sz w:val="24"/>
          <w:szCs w:val="24"/>
        </w:rPr>
        <w:t>有限</w:t>
      </w:r>
      <w:r>
        <w:rPr>
          <w:rFonts w:hint="eastAsia" w:ascii="宋体" w:hAnsi="宋体"/>
          <w:sz w:val="24"/>
          <w:szCs w:val="24"/>
          <w:lang w:val="en-US" w:eastAsia="zh-CN"/>
        </w:rPr>
        <w:t>公司现场</w:t>
      </w:r>
      <w:r>
        <w:rPr>
          <w:rFonts w:hint="eastAsia" w:ascii="宋体" w:hAnsi="宋体"/>
          <w:sz w:val="24"/>
          <w:szCs w:val="24"/>
        </w:rPr>
        <w:t>审核中，审核组先、后抽样检查了涉及公司测量体系内的、生产、经营、质量和环境等方面的</w:t>
      </w:r>
      <w:r>
        <w:rPr>
          <w:rFonts w:hint="eastAsia" w:ascii="宋体" w:hAnsi="宋体"/>
          <w:sz w:val="24"/>
          <w:szCs w:val="24"/>
          <w:lang w:val="en-US" w:eastAsia="zh-CN"/>
        </w:rPr>
        <w:t>5</w:t>
      </w:r>
      <w:r>
        <w:rPr>
          <w:rFonts w:hint="eastAsia" w:ascii="宋体" w:hAnsi="宋体"/>
          <w:sz w:val="24"/>
          <w:szCs w:val="24"/>
        </w:rPr>
        <w:t>个职能部门和生产</w:t>
      </w:r>
      <w:r>
        <w:rPr>
          <w:rFonts w:hint="eastAsia" w:ascii="宋体" w:hAnsi="宋体"/>
          <w:sz w:val="24"/>
          <w:szCs w:val="24"/>
          <w:lang w:val="en-US" w:eastAsia="zh-CN"/>
        </w:rPr>
        <w:t>车间。</w:t>
      </w:r>
      <w:r>
        <w:rPr>
          <w:rFonts w:hint="eastAsia" w:ascii="宋体" w:hAnsi="宋体"/>
          <w:sz w:val="24"/>
          <w:szCs w:val="24"/>
        </w:rPr>
        <w:t>重点</w:t>
      </w:r>
      <w:r>
        <w:rPr>
          <w:rFonts w:hint="eastAsia" w:ascii="宋体" w:hAnsi="宋体"/>
          <w:sz w:val="24"/>
          <w:szCs w:val="24"/>
          <w:lang w:eastAsia="zh-CN"/>
        </w:rPr>
        <w:t>审核</w:t>
      </w:r>
      <w:r>
        <w:rPr>
          <w:rFonts w:hint="eastAsia" w:ascii="宋体" w:hAnsi="宋体"/>
          <w:sz w:val="24"/>
          <w:szCs w:val="24"/>
          <w:lang w:val="en-US" w:eastAsia="zh-CN"/>
        </w:rPr>
        <w:t>原材料</w:t>
      </w:r>
      <w:r>
        <w:rPr>
          <w:rFonts w:hint="eastAsia"/>
          <w:sz w:val="24"/>
          <w:szCs w:val="24"/>
        </w:rPr>
        <w:t>进厂检测、产品</w:t>
      </w:r>
      <w:r>
        <w:rPr>
          <w:rFonts w:hint="eastAsia"/>
          <w:sz w:val="24"/>
          <w:szCs w:val="24"/>
          <w:lang w:eastAsia="zh-CN"/>
        </w:rPr>
        <w:t>出厂检验等测量过程</w:t>
      </w:r>
      <w:r>
        <w:rPr>
          <w:rStyle w:val="9"/>
          <w:rFonts w:hint="eastAsia" w:ascii="宋体" w:eastAsia="宋体"/>
          <w:sz w:val="24"/>
          <w:szCs w:val="24"/>
        </w:rPr>
        <w:t>及测量设备量值溯源完成情况</w:t>
      </w:r>
      <w:r>
        <w:rPr>
          <w:rStyle w:val="9"/>
          <w:rFonts w:hint="eastAsia" w:ascii="宋体" w:eastAsia="宋体"/>
          <w:sz w:val="24"/>
          <w:szCs w:val="24"/>
          <w:lang w:eastAsia="zh-CN"/>
        </w:rPr>
        <w:t>等</w:t>
      </w:r>
      <w:r>
        <w:rPr>
          <w:rStyle w:val="9"/>
          <w:rFonts w:hint="eastAsia" w:ascii="宋体" w:eastAsia="宋体"/>
          <w:sz w:val="24"/>
          <w:szCs w:val="24"/>
        </w:rPr>
        <w:t>。</w:t>
      </w:r>
      <w:r>
        <w:rPr>
          <w:rStyle w:val="9"/>
          <w:rFonts w:hint="eastAsia" w:ascii="宋体" w:eastAsia="宋体"/>
          <w:sz w:val="24"/>
          <w:szCs w:val="24"/>
          <w:lang w:val="en-US" w:eastAsia="zh-CN"/>
        </w:rPr>
        <w:t>该企业</w:t>
      </w:r>
      <w:r>
        <w:rPr>
          <w:rFonts w:hint="eastAsia" w:ascii="宋体" w:hAnsi="宋体" w:cs="宋体"/>
          <w:kern w:val="0"/>
          <w:sz w:val="24"/>
          <w:szCs w:val="24"/>
        </w:rPr>
        <w:t>领导</w:t>
      </w:r>
      <w:r>
        <w:rPr>
          <w:rFonts w:hint="eastAsia" w:ascii="宋体" w:hAnsi="宋体" w:cs="宋体"/>
          <w:kern w:val="0"/>
          <w:sz w:val="24"/>
          <w:szCs w:val="24"/>
          <w:lang w:val="en-US" w:eastAsia="zh-CN"/>
        </w:rPr>
        <w:t>非常重视</w:t>
      </w:r>
      <w:r>
        <w:rPr>
          <w:rFonts w:hint="eastAsia" w:ascii="宋体" w:hAnsi="宋体" w:cs="宋体"/>
          <w:kern w:val="0"/>
          <w:sz w:val="24"/>
          <w:szCs w:val="24"/>
        </w:rPr>
        <w:t>测量管理体系各项工作，</w:t>
      </w:r>
      <w:r>
        <w:rPr>
          <w:rFonts w:hint="eastAsia" w:ascii="宋体" w:hAnsi="宋体" w:cs="宋体"/>
          <w:kern w:val="0"/>
          <w:sz w:val="24"/>
          <w:szCs w:val="24"/>
          <w:lang w:val="en-US" w:eastAsia="zh-CN"/>
        </w:rPr>
        <w:t>完善了资源的配备，企业制定的</w:t>
      </w:r>
      <w:r>
        <w:rPr>
          <w:rFonts w:hint="eastAsia" w:ascii="宋体" w:hAnsi="宋体"/>
          <w:bCs/>
          <w:sz w:val="24"/>
          <w:szCs w:val="24"/>
        </w:rPr>
        <w:t>质量目标</w:t>
      </w:r>
      <w:r>
        <w:rPr>
          <w:rFonts w:hint="eastAsia" w:ascii="宋体" w:hAnsi="宋体"/>
          <w:bCs/>
          <w:sz w:val="24"/>
          <w:szCs w:val="24"/>
          <w:lang w:eastAsia="zh-CN"/>
        </w:rPr>
        <w:t>能</w:t>
      </w:r>
      <w:r>
        <w:rPr>
          <w:rFonts w:hint="eastAsia" w:ascii="宋体" w:hAnsi="宋体"/>
          <w:bCs/>
          <w:sz w:val="24"/>
          <w:szCs w:val="24"/>
        </w:rPr>
        <w:t>按规定的内容和时间进行考核，</w:t>
      </w:r>
      <w:r>
        <w:rPr>
          <w:rFonts w:hint="eastAsia" w:ascii="宋体" w:hAnsi="宋体"/>
          <w:bCs/>
          <w:sz w:val="24"/>
          <w:szCs w:val="24"/>
          <w:lang w:val="en-US" w:eastAsia="zh-CN"/>
        </w:rPr>
        <w:t>2020</w:t>
      </w:r>
      <w:r>
        <w:rPr>
          <w:rFonts w:hint="eastAsia" w:ascii="宋体" w:hAnsi="宋体"/>
          <w:bCs/>
          <w:sz w:val="24"/>
          <w:szCs w:val="24"/>
        </w:rPr>
        <w:t>年度质量目标完成情况较好；</w:t>
      </w:r>
      <w:r>
        <w:rPr>
          <w:rFonts w:hint="eastAsia" w:ascii="宋体" w:hAnsi="宋体"/>
          <w:bCs/>
          <w:sz w:val="24"/>
          <w:szCs w:val="24"/>
          <w:lang w:eastAsia="zh-CN"/>
        </w:rPr>
        <w:t>奥宸科技</w:t>
      </w:r>
      <w:r>
        <w:rPr>
          <w:rFonts w:hint="eastAsia" w:ascii="宋体" w:hAnsi="宋体"/>
          <w:bCs/>
          <w:sz w:val="24"/>
          <w:szCs w:val="24"/>
        </w:rPr>
        <w:t>有限</w:t>
      </w:r>
      <w:r>
        <w:rPr>
          <w:rFonts w:hint="eastAsia" w:ascii="宋体" w:hAnsi="宋体"/>
          <w:bCs/>
          <w:sz w:val="24"/>
          <w:szCs w:val="24"/>
          <w:lang w:val="en-US" w:eastAsia="zh-CN"/>
        </w:rPr>
        <w:t>公司</w:t>
      </w:r>
      <w:r>
        <w:rPr>
          <w:rFonts w:hint="eastAsia" w:ascii="宋体" w:hAnsi="宋体"/>
          <w:bCs/>
          <w:sz w:val="24"/>
          <w:szCs w:val="24"/>
        </w:rPr>
        <w:t>测量</w:t>
      </w:r>
      <w:r>
        <w:rPr>
          <w:rFonts w:hint="eastAsia" w:ascii="宋体" w:hAnsi="宋体"/>
          <w:sz w:val="24"/>
          <w:szCs w:val="24"/>
        </w:rPr>
        <w:t>管理体系的符合性、有效性及持续改进，符合GB/T 19022-2003标准要求，</w:t>
      </w:r>
      <w:r>
        <w:rPr>
          <w:rFonts w:hint="eastAsia" w:ascii="Calibri" w:hAnsi="Calibri"/>
          <w:sz w:val="24"/>
          <w:szCs w:val="24"/>
        </w:rPr>
        <w:t>公司</w:t>
      </w:r>
      <w:r>
        <w:rPr>
          <w:rFonts w:hint="eastAsia" w:ascii="宋体" w:hAnsi="宋体"/>
          <w:sz w:val="24"/>
          <w:szCs w:val="24"/>
        </w:rPr>
        <w:t>测量管理体系正常有序运行，较好地满足了公司生产、销售和持续发展的需要。</w:t>
      </w:r>
    </w:p>
    <w:p>
      <w:pPr>
        <w:widowControl/>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内部审核和管理评审的情况： </w:t>
      </w:r>
    </w:p>
    <w:p>
      <w:pPr>
        <w:widowControl/>
        <w:numPr>
          <w:ilvl w:val="0"/>
          <w:numId w:val="0"/>
        </w:numPr>
        <w:spacing w:line="360" w:lineRule="auto"/>
        <w:ind w:leftChars="0"/>
        <w:rPr>
          <w:rFonts w:ascii="宋体" w:hAnsi="宋体"/>
          <w:sz w:val="24"/>
          <w:szCs w:val="24"/>
        </w:rPr>
      </w:pPr>
      <w:r>
        <w:rPr>
          <w:rFonts w:hint="eastAsia" w:cs="宋体" w:asciiTheme="minorEastAsia" w:hAnsiTheme="minorEastAsia"/>
          <w:bCs/>
          <w:kern w:val="0"/>
          <w:sz w:val="24"/>
          <w:szCs w:val="24"/>
        </w:rPr>
        <w:t>3.1</w:t>
      </w:r>
      <w:r>
        <w:rPr>
          <w:rFonts w:hint="eastAsia" w:ascii="宋体" w:hAnsi="宋体"/>
          <w:sz w:val="24"/>
          <w:szCs w:val="24"/>
        </w:rPr>
        <w:t>公司的测量体系内审：</w:t>
      </w:r>
    </w:p>
    <w:p>
      <w:pPr>
        <w:widowControl/>
        <w:spacing w:line="360" w:lineRule="auto"/>
        <w:ind w:firstLine="480"/>
        <w:rPr>
          <w:rStyle w:val="9"/>
          <w:rFonts w:hint="eastAsia" w:ascii="宋体" w:eastAsia="宋体"/>
          <w:sz w:val="24"/>
          <w:szCs w:val="24"/>
          <w:lang w:val="en-US" w:eastAsia="zh-CN"/>
        </w:rPr>
      </w:pPr>
      <w:r>
        <w:rPr>
          <w:rFonts w:hint="eastAsia" w:cs="宋体" w:asciiTheme="minorEastAsia" w:hAnsiTheme="minorEastAsia"/>
          <w:bCs/>
          <w:kern w:val="0"/>
          <w:sz w:val="24"/>
          <w:szCs w:val="24"/>
        </w:rPr>
        <w:t>为了充分验证公司测量管理体系运行的符合性、有效性及持续改进，根据公司20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年度工作计划，于20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11</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15</w:t>
      </w:r>
      <w:r>
        <w:rPr>
          <w:rFonts w:cs="宋体" w:asciiTheme="minorEastAsia" w:hAnsiTheme="minorEastAsia"/>
          <w:bCs/>
          <w:kern w:val="0"/>
          <w:sz w:val="24"/>
          <w:szCs w:val="24"/>
        </w:rPr>
        <w:t>日</w:t>
      </w:r>
      <w:r>
        <w:rPr>
          <w:rFonts w:hint="eastAsia" w:cs="宋体" w:asciiTheme="minorEastAsia" w:hAnsiTheme="minorEastAsia"/>
          <w:bCs/>
          <w:kern w:val="0"/>
          <w:sz w:val="24"/>
          <w:szCs w:val="24"/>
        </w:rPr>
        <w:t>，公司进行了年度测量管理体系</w:t>
      </w:r>
      <w:r>
        <w:rPr>
          <w:rFonts w:hint="eastAsia" w:asciiTheme="minorEastAsia" w:hAnsiTheme="minorEastAsia"/>
          <w:bCs/>
          <w:sz w:val="24"/>
          <w:szCs w:val="24"/>
        </w:rPr>
        <w:t>内部审核工作</w:t>
      </w:r>
      <w:r>
        <w:rPr>
          <w:rFonts w:hint="eastAsia"/>
          <w:sz w:val="24"/>
          <w:szCs w:val="24"/>
        </w:rPr>
        <w:t>。</w:t>
      </w:r>
      <w:r>
        <w:rPr>
          <w:rStyle w:val="9"/>
          <w:rFonts w:hint="eastAsia" w:ascii="宋体" w:eastAsia="宋体"/>
          <w:sz w:val="24"/>
          <w:szCs w:val="24"/>
        </w:rPr>
        <w:t>按GB/T 19022-2003标准的要素要求，审核共涉及了</w:t>
      </w:r>
      <w:r>
        <w:rPr>
          <w:rStyle w:val="9"/>
          <w:rFonts w:hint="eastAsia" w:ascii="宋体" w:eastAsia="宋体"/>
          <w:sz w:val="24"/>
          <w:szCs w:val="24"/>
          <w:lang w:val="en-US" w:eastAsia="zh-CN"/>
        </w:rPr>
        <w:t>5</w:t>
      </w:r>
      <w:r>
        <w:rPr>
          <w:rStyle w:val="9"/>
          <w:rFonts w:hint="eastAsia" w:ascii="宋体" w:eastAsia="宋体"/>
          <w:sz w:val="24"/>
          <w:szCs w:val="24"/>
        </w:rPr>
        <w:t>个职能部门和</w:t>
      </w:r>
      <w:r>
        <w:rPr>
          <w:rStyle w:val="9"/>
          <w:rFonts w:hint="eastAsia" w:ascii="宋体" w:eastAsia="宋体"/>
          <w:sz w:val="24"/>
          <w:szCs w:val="24"/>
          <w:lang w:val="en-US" w:eastAsia="zh-CN"/>
        </w:rPr>
        <w:t>1</w:t>
      </w:r>
      <w:r>
        <w:rPr>
          <w:rStyle w:val="9"/>
          <w:rFonts w:hint="eastAsia" w:ascii="宋体" w:eastAsia="宋体"/>
          <w:sz w:val="24"/>
          <w:szCs w:val="24"/>
        </w:rPr>
        <w:t>个生产作业单位。</w:t>
      </w:r>
      <w:r>
        <w:rPr>
          <w:rFonts w:hint="eastAsia"/>
          <w:sz w:val="24"/>
          <w:szCs w:val="24"/>
        </w:rPr>
        <w:t>审核共开具</w:t>
      </w:r>
      <w:r>
        <w:rPr>
          <w:rStyle w:val="9"/>
          <w:rFonts w:hint="eastAsia" w:ascii="宋体" w:eastAsia="宋体"/>
          <w:sz w:val="24"/>
          <w:szCs w:val="24"/>
        </w:rPr>
        <w:t xml:space="preserve">次要不符合项 </w:t>
      </w:r>
      <w:r>
        <w:rPr>
          <w:rStyle w:val="9"/>
          <w:rFonts w:hint="eastAsia" w:ascii="宋体" w:eastAsia="宋体"/>
          <w:sz w:val="24"/>
          <w:szCs w:val="24"/>
          <w:lang w:val="en-US" w:eastAsia="zh-CN"/>
        </w:rPr>
        <w:t>1</w:t>
      </w:r>
      <w:r>
        <w:rPr>
          <w:rStyle w:val="9"/>
          <w:rFonts w:hint="eastAsia" w:ascii="宋体" w:eastAsia="宋体"/>
          <w:sz w:val="24"/>
          <w:szCs w:val="24"/>
        </w:rPr>
        <w:t>项,对内审发现的问题，制定了有效的纠正措施</w:t>
      </w:r>
      <w:r>
        <w:rPr>
          <w:rStyle w:val="9"/>
          <w:rFonts w:hint="eastAsia" w:ascii="宋体" w:eastAsia="宋体"/>
          <w:sz w:val="24"/>
          <w:szCs w:val="24"/>
          <w:lang w:eastAsia="zh-CN"/>
        </w:rPr>
        <w:t>并</w:t>
      </w:r>
      <w:r>
        <w:rPr>
          <w:rStyle w:val="9"/>
          <w:rFonts w:hint="eastAsia" w:ascii="宋体" w:eastAsia="宋体"/>
          <w:sz w:val="24"/>
          <w:szCs w:val="24"/>
        </w:rPr>
        <w:t>及时整改</w:t>
      </w:r>
      <w:r>
        <w:rPr>
          <w:rStyle w:val="9"/>
          <w:rFonts w:hint="eastAsia" w:ascii="宋体" w:eastAsia="宋体"/>
          <w:sz w:val="24"/>
          <w:szCs w:val="24"/>
          <w:lang w:val="en-US" w:eastAsia="zh-CN"/>
        </w:rPr>
        <w:t>.</w:t>
      </w:r>
    </w:p>
    <w:p>
      <w:pPr>
        <w:widowControl/>
        <w:spacing w:line="360" w:lineRule="auto"/>
        <w:ind w:firstLine="480"/>
        <w:rPr>
          <w:rFonts w:ascii="宋体" w:hAnsi="宋体"/>
          <w:sz w:val="24"/>
          <w:szCs w:val="24"/>
        </w:rPr>
      </w:pPr>
      <w:r>
        <w:rPr>
          <w:rStyle w:val="9"/>
          <w:rFonts w:hint="eastAsia" w:ascii="宋体" w:eastAsia="宋体"/>
          <w:sz w:val="24"/>
          <w:szCs w:val="24"/>
        </w:rPr>
        <w:t xml:space="preserve"> </w:t>
      </w:r>
      <w:r>
        <w:rPr>
          <w:rFonts w:hint="eastAsia" w:ascii="宋体" w:hAnsi="宋体"/>
          <w:sz w:val="24"/>
          <w:szCs w:val="24"/>
        </w:rPr>
        <w:t>3.2、公司的测量体系管理评审：</w:t>
      </w:r>
    </w:p>
    <w:p>
      <w:pPr>
        <w:snapToGrid w:val="0"/>
        <w:spacing w:line="360" w:lineRule="auto"/>
        <w:rPr>
          <w:rFonts w:hint="eastAsia" w:ascii="宋体" w:hAnsi="宋体" w:cs="黑体"/>
          <w:sz w:val="24"/>
          <w:szCs w:val="24"/>
        </w:rPr>
      </w:pPr>
      <w:r>
        <w:rPr>
          <w:rFonts w:hint="eastAsia" w:asciiTheme="minorEastAsia" w:hAnsiTheme="minorEastAsia"/>
          <w:bCs/>
          <w:sz w:val="24"/>
          <w:szCs w:val="24"/>
          <w:lang w:val="en-US" w:eastAsia="zh-CN"/>
        </w:rPr>
        <w:t>公司于</w:t>
      </w:r>
      <w:r>
        <w:rPr>
          <w:rFonts w:hint="eastAsia" w:cs="宋体" w:asciiTheme="minorEastAsia" w:hAnsiTheme="minorEastAsia"/>
          <w:bCs/>
          <w:kern w:val="0"/>
          <w:sz w:val="24"/>
          <w:szCs w:val="24"/>
        </w:rPr>
        <w:t>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12</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4</w:t>
      </w:r>
      <w:r>
        <w:rPr>
          <w:rFonts w:cs="宋体" w:asciiTheme="minorEastAsia" w:hAnsiTheme="minorEastAsia"/>
          <w:bCs/>
          <w:kern w:val="0"/>
          <w:sz w:val="24"/>
          <w:szCs w:val="24"/>
        </w:rPr>
        <w:t>日</w:t>
      </w:r>
      <w:r>
        <w:rPr>
          <w:rFonts w:hint="eastAsia" w:cs="宋体" w:asciiTheme="minorEastAsia" w:hAnsiTheme="minorEastAsia"/>
          <w:bCs/>
          <w:kern w:val="0"/>
          <w:sz w:val="24"/>
          <w:szCs w:val="24"/>
          <w:lang w:val="en-US" w:eastAsia="zh-CN"/>
        </w:rPr>
        <w:t>进行了管理评审，</w:t>
      </w:r>
      <w:r>
        <w:rPr>
          <w:rFonts w:hint="eastAsia" w:ascii="宋体" w:hAnsi="宋体" w:cs="黑体"/>
          <w:sz w:val="24"/>
          <w:szCs w:val="24"/>
        </w:rPr>
        <w:t>会议</w:t>
      </w:r>
      <w:r>
        <w:rPr>
          <w:rFonts w:ascii="宋体" w:hAnsi="宋体" w:cs="黑体"/>
          <w:sz w:val="24"/>
          <w:szCs w:val="24"/>
        </w:rPr>
        <w:t>由</w:t>
      </w:r>
      <w:r>
        <w:rPr>
          <w:rFonts w:hint="eastAsia" w:ascii="宋体" w:hAnsi="宋体" w:cs="黑体"/>
          <w:sz w:val="24"/>
          <w:szCs w:val="24"/>
        </w:rPr>
        <w:t>公司总经理主持</w:t>
      </w:r>
      <w:r>
        <w:rPr>
          <w:rFonts w:hint="eastAsia" w:ascii="宋体" w:hAnsi="宋体" w:cs="黑体"/>
          <w:sz w:val="24"/>
          <w:szCs w:val="24"/>
          <w:lang w:val="en-US" w:eastAsia="zh-CN"/>
        </w:rPr>
        <w:t>并</w:t>
      </w:r>
      <w:r>
        <w:rPr>
          <w:rFonts w:ascii="宋体" w:hAnsi="宋体" w:cs="黑体"/>
          <w:sz w:val="24"/>
          <w:szCs w:val="24"/>
        </w:rPr>
        <w:t>汇报了体系运行情况。</w:t>
      </w:r>
      <w:r>
        <w:rPr>
          <w:rFonts w:hint="eastAsia" w:ascii="宋体" w:hAnsi="宋体" w:cs="黑体"/>
          <w:sz w:val="24"/>
          <w:szCs w:val="24"/>
        </w:rPr>
        <w:t>会议肯定</w:t>
      </w:r>
      <w:r>
        <w:rPr>
          <w:rFonts w:ascii="宋体" w:hAnsi="宋体" w:cs="黑体"/>
          <w:sz w:val="24"/>
          <w:szCs w:val="24"/>
        </w:rPr>
        <w:t>了公司测量管理体系的充分</w:t>
      </w:r>
      <w:r>
        <w:rPr>
          <w:rFonts w:hint="eastAsia" w:ascii="宋体" w:hAnsi="宋体" w:cs="黑体"/>
          <w:sz w:val="24"/>
          <w:szCs w:val="24"/>
        </w:rPr>
        <w:t>性</w:t>
      </w:r>
      <w:r>
        <w:rPr>
          <w:rFonts w:ascii="宋体" w:hAnsi="宋体" w:cs="黑体"/>
          <w:sz w:val="24"/>
          <w:szCs w:val="24"/>
        </w:rPr>
        <w:t>、有效性和适宜性</w:t>
      </w:r>
      <w:r>
        <w:rPr>
          <w:rFonts w:hint="eastAsia" w:ascii="宋体" w:hAnsi="宋体" w:cs="黑体"/>
          <w:sz w:val="24"/>
          <w:szCs w:val="24"/>
        </w:rPr>
        <w:t>。形成</w:t>
      </w:r>
      <w:r>
        <w:rPr>
          <w:rFonts w:ascii="宋体" w:hAnsi="宋体" w:cs="黑体"/>
          <w:sz w:val="24"/>
          <w:szCs w:val="24"/>
        </w:rPr>
        <w:t>了管理评审报告</w:t>
      </w:r>
      <w:r>
        <w:rPr>
          <w:rFonts w:hint="eastAsia" w:ascii="宋体" w:hAnsi="宋体" w:cs="黑体"/>
          <w:sz w:val="24"/>
          <w:szCs w:val="24"/>
        </w:rPr>
        <w:t>，对公司测量体系目前存在的问题落实了整改部门。</w:t>
      </w:r>
    </w:p>
    <w:p>
      <w:pPr>
        <w:numPr>
          <w:ilvl w:val="0"/>
          <w:numId w:val="0"/>
        </w:numPr>
        <w:snapToGrid w:val="0"/>
        <w:spacing w:line="360" w:lineRule="auto"/>
        <w:ind w:leftChars="0"/>
        <w:rPr>
          <w:rFonts w:hint="eastAsia" w:ascii="宋体" w:hAnsi="宋体" w:cs="黑体"/>
          <w:sz w:val="24"/>
          <w:szCs w:val="24"/>
          <w:lang w:val="en-US" w:eastAsia="zh-CN"/>
        </w:rPr>
      </w:pPr>
      <w:r>
        <w:rPr>
          <w:rFonts w:hint="eastAsia" w:asciiTheme="minorEastAsia" w:hAnsiTheme="minorEastAsia"/>
          <w:bCs/>
          <w:szCs w:val="21"/>
          <w:lang w:val="en-US" w:eastAsia="zh-CN"/>
        </w:rPr>
        <w:t>4.</w:t>
      </w:r>
      <w:r>
        <w:rPr>
          <w:rFonts w:hint="eastAsia" w:asciiTheme="minorEastAsia" w:hAnsiTheme="minorEastAsia"/>
          <w:bCs/>
          <w:szCs w:val="21"/>
        </w:rPr>
        <w:t>为</w:t>
      </w:r>
      <w:r>
        <w:rPr>
          <w:rFonts w:hint="eastAsia"/>
          <w:sz w:val="24"/>
          <w:szCs w:val="24"/>
          <w:lang w:val="en-US" w:eastAsia="zh-CN"/>
        </w:rPr>
        <w:t>持续改进而策划的活动的进展 ，包</w:t>
      </w:r>
      <w:r>
        <w:rPr>
          <w:rFonts w:hint="eastAsia" w:ascii="宋体" w:hAnsi="宋体" w:cs="黑体"/>
          <w:sz w:val="24"/>
          <w:szCs w:val="24"/>
          <w:lang w:val="en-US" w:eastAsia="zh-CN"/>
        </w:rPr>
        <w:t>括：</w:t>
      </w:r>
    </w:p>
    <w:p>
      <w:pPr>
        <w:numPr>
          <w:ilvl w:val="0"/>
          <w:numId w:val="0"/>
        </w:numPr>
        <w:snapToGrid w:val="0"/>
        <w:spacing w:line="360" w:lineRule="auto"/>
        <w:ind w:leftChars="0"/>
        <w:rPr>
          <w:rFonts w:ascii="宋体" w:hAnsi="宋体" w:cs="黑体"/>
          <w:sz w:val="24"/>
          <w:szCs w:val="24"/>
        </w:rPr>
      </w:pPr>
      <w:r>
        <w:rPr>
          <w:rFonts w:ascii="宋体" w:hAnsi="宋体" w:cs="黑体"/>
          <w:sz w:val="24"/>
          <w:szCs w:val="24"/>
        </w:rPr>
        <w:t xml:space="preserve">4.1 </w:t>
      </w:r>
      <w:r>
        <w:rPr>
          <w:rFonts w:hint="eastAsia" w:ascii="宋体" w:hAnsi="宋体" w:cs="黑体"/>
          <w:sz w:val="24"/>
          <w:szCs w:val="24"/>
        </w:rPr>
        <w:t>该企业主要是</w:t>
      </w:r>
      <w:r>
        <w:rPr>
          <w:rFonts w:hint="eastAsia" w:ascii="宋体" w:hAnsi="宋体" w:cs="黑体"/>
          <w:sz w:val="24"/>
          <w:szCs w:val="24"/>
          <w:lang w:eastAsia="zh-CN"/>
        </w:rPr>
        <w:t>：</w:t>
      </w:r>
      <w:bookmarkStart w:id="9" w:name="审核范围"/>
      <w:r>
        <w:rPr>
          <w:color w:val="000000"/>
          <w:szCs w:val="21"/>
        </w:rPr>
        <w:t>石油钻采专用设备及配件（防垢剂集中加药装置、单井多相流量监测装置、储油装置、抽油杆综合保护器、接箍、钢圈、垫片）、轴承、泵（螺杆泵）、污水处理设备、石油专用仪器仪表（流量调节器）、电力设备配件（磁力耦合执行器）、电动机（永磁电动机）、高压开关柜、变频控制柜的生产；石油钻采专用设备及配件（油管螺纹）的加工；油管修复（许可要求除外）</w:t>
      </w:r>
      <w:r>
        <w:rPr>
          <w:rFonts w:hint="eastAsia" w:ascii="宋体" w:hAnsi="宋体" w:cs="黑体"/>
          <w:sz w:val="24"/>
          <w:szCs w:val="24"/>
          <w:lang w:val="en-US" w:eastAsia="zh-CN"/>
        </w:rPr>
        <w:t>等</w:t>
      </w:r>
      <w:bookmarkEnd w:id="9"/>
      <w:r>
        <w:rPr>
          <w:rFonts w:hint="eastAsia" w:ascii="宋体" w:hAnsi="宋体" w:cs="黑体"/>
          <w:sz w:val="24"/>
          <w:szCs w:val="24"/>
          <w:lang w:val="en-US" w:eastAsia="zh-CN"/>
        </w:rPr>
        <w:t>，共识别抽油杆综合保护器轴承套外径尺寸测量测量等5个重要测量过程，未增加</w:t>
      </w:r>
      <w:r>
        <w:rPr>
          <w:rFonts w:hint="eastAsia" w:ascii="宋体" w:hAnsi="宋体" w:cs="黑体"/>
          <w:sz w:val="24"/>
          <w:szCs w:val="24"/>
          <w:lang w:eastAsia="zh-CN"/>
        </w:rPr>
        <w:t>新的测量过程；</w:t>
      </w:r>
      <w:r>
        <w:rPr>
          <w:rFonts w:hint="eastAsia" w:ascii="宋体" w:hAnsi="宋体" w:cs="黑体"/>
          <w:sz w:val="24"/>
          <w:szCs w:val="24"/>
        </w:rPr>
        <w:t>“</w:t>
      </w:r>
      <w:r>
        <w:rPr>
          <w:rFonts w:hint="eastAsia" w:ascii="宋体" w:hAnsi="宋体" w:cs="黑体"/>
          <w:sz w:val="24"/>
          <w:szCs w:val="24"/>
          <w:lang w:val="en-US" w:eastAsia="zh-CN"/>
        </w:rPr>
        <w:t>抽油杆综合保护器轴承套外径尺寸测量测量</w:t>
      </w:r>
      <w:r>
        <w:rPr>
          <w:rFonts w:hint="eastAsia" w:ascii="宋体" w:hAnsi="宋体" w:cs="黑体"/>
          <w:sz w:val="24"/>
          <w:szCs w:val="24"/>
        </w:rPr>
        <w:t>”为</w:t>
      </w:r>
      <w:r>
        <w:rPr>
          <w:rFonts w:hint="eastAsia" w:ascii="宋体" w:hAnsi="宋体" w:cs="黑体"/>
          <w:sz w:val="24"/>
          <w:szCs w:val="24"/>
          <w:lang w:eastAsia="zh-CN"/>
        </w:rPr>
        <w:t>高度</w:t>
      </w:r>
      <w:r>
        <w:rPr>
          <w:rFonts w:hint="eastAsia" w:ascii="宋体" w:hAnsi="宋体" w:cs="黑体"/>
          <w:sz w:val="24"/>
          <w:szCs w:val="24"/>
        </w:rPr>
        <w:t>测量过程。企业分别对测量过程的测量要素，从重要性、技术要求、配备测量设备名称、测量范围、允许误差（测量不确定度）、环境条件、操作人员资质、测量频次、监视方法等方面，予以有效控制和识别。</w:t>
      </w:r>
    </w:p>
    <w:p>
      <w:pPr>
        <w:snapToGrid w:val="0"/>
        <w:spacing w:line="360" w:lineRule="auto"/>
        <w:rPr>
          <w:rFonts w:hint="eastAsia" w:ascii="宋体" w:hAnsi="宋体" w:cs="黑体"/>
          <w:sz w:val="24"/>
          <w:szCs w:val="24"/>
        </w:rPr>
      </w:pPr>
      <w:r>
        <w:rPr>
          <w:rFonts w:ascii="宋体" w:hAnsi="宋体" w:cs="黑体"/>
          <w:sz w:val="24"/>
          <w:szCs w:val="24"/>
        </w:rPr>
        <w:t>4.2</w:t>
      </w:r>
      <w:r>
        <w:rPr>
          <w:rFonts w:hint="eastAsia" w:ascii="宋体" w:hAnsi="宋体" w:cs="黑体"/>
          <w:sz w:val="24"/>
          <w:szCs w:val="24"/>
        </w:rPr>
        <w:t>检查了企业的测量设备《计量确认</w:t>
      </w:r>
      <w:r>
        <w:rPr>
          <w:rFonts w:hint="eastAsia" w:ascii="宋体" w:hAnsi="宋体" w:cs="黑体"/>
          <w:sz w:val="24"/>
          <w:szCs w:val="24"/>
          <w:lang w:val="en-US" w:eastAsia="zh-CN"/>
        </w:rPr>
        <w:t>周期表</w:t>
      </w:r>
      <w:r>
        <w:rPr>
          <w:rFonts w:hint="eastAsia" w:ascii="宋体" w:hAnsi="宋体" w:cs="黑体"/>
          <w:sz w:val="24"/>
          <w:szCs w:val="24"/>
        </w:rPr>
        <w:t>》，对</w:t>
      </w:r>
      <w:r>
        <w:rPr>
          <w:rFonts w:hint="eastAsia" w:ascii="宋体" w:hAnsi="宋体" w:cs="黑体"/>
          <w:sz w:val="24"/>
          <w:szCs w:val="24"/>
          <w:lang w:val="en-US" w:eastAsia="zh-CN"/>
        </w:rPr>
        <w:t>8</w:t>
      </w:r>
      <w:r>
        <w:rPr>
          <w:rFonts w:hint="eastAsia" w:ascii="宋体" w:hAnsi="宋体" w:cs="黑体"/>
          <w:sz w:val="24"/>
          <w:szCs w:val="24"/>
        </w:rPr>
        <w:t>台件测量设备器具进行了计量确认和验证。全部在有效期内，验证结果均为合格。关键测量过程：“</w:t>
      </w:r>
      <w:r>
        <w:rPr>
          <w:rFonts w:hint="eastAsia" w:ascii="宋体" w:hAnsi="宋体" w:cs="黑体"/>
          <w:sz w:val="24"/>
          <w:szCs w:val="24"/>
          <w:lang w:val="en-US" w:eastAsia="zh-CN"/>
        </w:rPr>
        <w:t>抽油杆综合保护器轴承套外径尺寸测量测量</w:t>
      </w:r>
      <w:r>
        <w:rPr>
          <w:rFonts w:hint="eastAsia" w:ascii="宋体" w:hAnsi="宋体" w:cs="黑体"/>
          <w:sz w:val="24"/>
          <w:szCs w:val="24"/>
        </w:rPr>
        <w:t>”，计量性能测试、监视记录、监视控制图，均已按测量过程控制规范，进行了有效性监视和记录统计。</w:t>
      </w:r>
    </w:p>
    <w:p>
      <w:pPr>
        <w:snapToGrid w:val="0"/>
        <w:spacing w:line="360" w:lineRule="auto"/>
        <w:rPr>
          <w:rFonts w:ascii="宋体" w:hAnsi="宋体" w:cs="黑体"/>
          <w:sz w:val="24"/>
          <w:szCs w:val="24"/>
        </w:rPr>
      </w:pPr>
      <w:r>
        <w:rPr>
          <w:rFonts w:ascii="宋体" w:hAnsi="宋体" w:cs="黑体"/>
          <w:sz w:val="24"/>
          <w:szCs w:val="24"/>
        </w:rPr>
        <w:t xml:space="preserve">4.3. </w:t>
      </w:r>
      <w:r>
        <w:rPr>
          <w:rFonts w:hint="eastAsia" w:ascii="宋体" w:hAnsi="宋体" w:cs="黑体"/>
          <w:sz w:val="24"/>
          <w:szCs w:val="24"/>
        </w:rPr>
        <w:t>企业</w:t>
      </w:r>
      <w:r>
        <w:rPr>
          <w:rFonts w:hint="eastAsia" w:ascii="宋体" w:hAnsi="宋体" w:cs="黑体"/>
          <w:sz w:val="24"/>
          <w:szCs w:val="24"/>
          <w:lang w:eastAsia="zh-CN"/>
        </w:rPr>
        <w:t>未新</w:t>
      </w:r>
      <w:r>
        <w:rPr>
          <w:rFonts w:hint="eastAsia" w:ascii="宋体" w:hAnsi="宋体" w:cs="黑体"/>
          <w:sz w:val="24"/>
          <w:szCs w:val="24"/>
        </w:rPr>
        <w:t>增加测量过程，查看了</w:t>
      </w:r>
      <w:r>
        <w:rPr>
          <w:rFonts w:hint="eastAsia" w:ascii="宋体" w:hAnsi="宋体" w:cs="黑体"/>
          <w:sz w:val="24"/>
          <w:szCs w:val="24"/>
          <w:lang w:eastAsia="zh-CN"/>
        </w:rPr>
        <w:t>原</w:t>
      </w:r>
      <w:r>
        <w:rPr>
          <w:rFonts w:hint="eastAsia" w:ascii="宋体" w:hAnsi="宋体" w:cs="黑体"/>
          <w:sz w:val="24"/>
          <w:szCs w:val="24"/>
        </w:rPr>
        <w:t>关键测量过程，计量要求导出方法基本正确；测量设备的配备满足计量要求，测量设备经过校准，测量设备验证方法正确。</w:t>
      </w:r>
    </w:p>
    <w:p>
      <w:pPr>
        <w:snapToGrid w:val="0"/>
        <w:spacing w:line="360" w:lineRule="auto"/>
        <w:rPr>
          <w:rFonts w:ascii="宋体" w:hAnsi="宋体" w:cs="黑体"/>
          <w:sz w:val="24"/>
          <w:szCs w:val="24"/>
        </w:rPr>
      </w:pPr>
      <w:r>
        <w:rPr>
          <w:rFonts w:ascii="宋体" w:hAnsi="宋体" w:cs="黑体"/>
          <w:sz w:val="24"/>
          <w:szCs w:val="24"/>
        </w:rPr>
        <w:t>4.4</w:t>
      </w:r>
      <w:r>
        <w:rPr>
          <w:rFonts w:hint="eastAsia" w:ascii="宋体" w:hAnsi="宋体" w:cs="黑体"/>
          <w:sz w:val="24"/>
          <w:szCs w:val="24"/>
          <w:lang w:val="en-US" w:eastAsia="zh-CN"/>
        </w:rPr>
        <w:t>.</w:t>
      </w:r>
      <w:r>
        <w:rPr>
          <w:rFonts w:hint="eastAsia" w:ascii="宋体" w:hAnsi="宋体" w:cs="黑体"/>
          <w:sz w:val="24"/>
          <w:szCs w:val="24"/>
        </w:rPr>
        <w:t>查《</w:t>
      </w:r>
      <w:r>
        <w:rPr>
          <w:rFonts w:hint="eastAsia" w:ascii="宋体" w:hAnsi="宋体" w:cs="黑体"/>
          <w:sz w:val="24"/>
          <w:szCs w:val="24"/>
          <w:lang w:val="en-US" w:eastAsia="zh-CN"/>
        </w:rPr>
        <w:t>抽油杆综合保护器轴承套外径尺寸测量测量</w:t>
      </w:r>
      <w:r>
        <w:rPr>
          <w:rFonts w:hint="eastAsia" w:ascii="宋体" w:hAnsi="宋体" w:cs="黑体"/>
          <w:sz w:val="24"/>
          <w:szCs w:val="24"/>
        </w:rPr>
        <w:t>过程不确定度评定》，方法和结果正确；</w:t>
      </w:r>
    </w:p>
    <w:p>
      <w:pPr>
        <w:snapToGrid w:val="0"/>
        <w:spacing w:line="360" w:lineRule="auto"/>
        <w:rPr>
          <w:rFonts w:hint="eastAsia" w:ascii="宋体" w:hAnsi="宋体" w:cs="黑体"/>
          <w:sz w:val="24"/>
          <w:szCs w:val="24"/>
        </w:rPr>
      </w:pPr>
      <w:r>
        <w:rPr>
          <w:rFonts w:ascii="宋体" w:hAnsi="宋体" w:cs="黑体"/>
          <w:sz w:val="24"/>
          <w:szCs w:val="24"/>
        </w:rPr>
        <w:t>4.5</w:t>
      </w:r>
      <w:r>
        <w:rPr>
          <w:rFonts w:hint="eastAsia" w:ascii="宋体" w:hAnsi="宋体" w:cs="黑体"/>
          <w:sz w:val="24"/>
          <w:szCs w:val="24"/>
          <w:lang w:val="en-US" w:eastAsia="zh-CN"/>
        </w:rPr>
        <w:t>.</w:t>
      </w:r>
      <w:r>
        <w:rPr>
          <w:rFonts w:hint="eastAsia" w:ascii="宋体" w:hAnsi="宋体" w:cs="黑体"/>
          <w:sz w:val="24"/>
          <w:szCs w:val="24"/>
        </w:rPr>
        <w:t>查《</w:t>
      </w:r>
      <w:r>
        <w:rPr>
          <w:rFonts w:hint="eastAsia" w:ascii="宋体" w:hAnsi="宋体" w:cs="黑体"/>
          <w:sz w:val="24"/>
          <w:szCs w:val="24"/>
          <w:lang w:val="en-US" w:eastAsia="zh-CN"/>
        </w:rPr>
        <w:t>抽油杆综合保护器轴承套外径尺寸测量测量</w:t>
      </w:r>
      <w:r>
        <w:rPr>
          <w:rFonts w:hint="eastAsia" w:ascii="宋体" w:hAnsi="宋体" w:cs="黑体"/>
          <w:sz w:val="24"/>
          <w:szCs w:val="24"/>
        </w:rPr>
        <w:t>过程计量要求导出和计量验证记录表》信息内容完整、正确。</w:t>
      </w:r>
    </w:p>
    <w:p>
      <w:pPr>
        <w:snapToGrid w:val="0"/>
        <w:spacing w:line="360" w:lineRule="auto"/>
        <w:rPr>
          <w:rFonts w:hint="eastAsia" w:ascii="宋体" w:hAnsi="宋体" w:cs="黑体"/>
          <w:sz w:val="24"/>
          <w:szCs w:val="24"/>
        </w:rPr>
      </w:pPr>
      <w:r>
        <w:rPr>
          <w:rFonts w:hint="eastAsia" w:ascii="宋体" w:hAnsi="宋体" w:cs="黑体"/>
          <w:sz w:val="24"/>
          <w:szCs w:val="24"/>
          <w:lang w:val="en-US" w:eastAsia="zh-CN"/>
        </w:rPr>
        <w:t>4.6</w:t>
      </w:r>
      <w:r>
        <w:rPr>
          <w:rFonts w:hint="eastAsia" w:ascii="宋体" w:hAnsi="宋体" w:cs="黑体"/>
          <w:sz w:val="24"/>
          <w:szCs w:val="24"/>
        </w:rPr>
        <w:t>《</w:t>
      </w:r>
      <w:r>
        <w:rPr>
          <w:rFonts w:hint="eastAsia" w:ascii="宋体" w:hAnsi="宋体" w:cs="黑体"/>
          <w:sz w:val="24"/>
          <w:szCs w:val="24"/>
          <w:lang w:val="en-US" w:eastAsia="zh-CN"/>
        </w:rPr>
        <w:t>抽油杆综合保护器轴承套外径尺寸测量测量</w:t>
      </w:r>
      <w:r>
        <w:rPr>
          <w:rFonts w:hint="eastAsia" w:ascii="宋体" w:hAnsi="宋体" w:cs="黑体"/>
          <w:sz w:val="24"/>
          <w:szCs w:val="24"/>
        </w:rPr>
        <w:t>过程有效性确认记录》验证方法正确。</w:t>
      </w:r>
    </w:p>
    <w:p>
      <w:pPr>
        <w:snapToGrid w:val="0"/>
        <w:spacing w:line="360" w:lineRule="auto"/>
        <w:rPr>
          <w:rFonts w:hint="eastAsia" w:ascii="宋体" w:hAnsi="宋体" w:cs="黑体"/>
          <w:sz w:val="24"/>
          <w:szCs w:val="24"/>
        </w:rPr>
      </w:pPr>
      <w:r>
        <w:rPr>
          <w:rFonts w:hint="eastAsia" w:ascii="宋体" w:hAnsi="宋体" w:cs="黑体"/>
          <w:sz w:val="24"/>
          <w:szCs w:val="24"/>
          <w:lang w:val="en-US" w:eastAsia="zh-CN"/>
        </w:rPr>
        <w:t>4.7</w:t>
      </w:r>
      <w:r>
        <w:rPr>
          <w:rFonts w:hint="eastAsia" w:ascii="宋体" w:hAnsi="宋体" w:cs="黑体"/>
          <w:sz w:val="24"/>
          <w:szCs w:val="24"/>
        </w:rPr>
        <w:t>《</w:t>
      </w:r>
      <w:r>
        <w:rPr>
          <w:rFonts w:hint="eastAsia" w:ascii="宋体" w:hAnsi="宋体" w:cs="黑体"/>
          <w:sz w:val="24"/>
          <w:szCs w:val="24"/>
          <w:lang w:val="en-US" w:eastAsia="zh-CN"/>
        </w:rPr>
        <w:t>抽油杆综合保护器轴承套外径尺寸测量</w:t>
      </w:r>
      <w:r>
        <w:rPr>
          <w:rFonts w:hint="eastAsia" w:ascii="宋体" w:hAnsi="宋体" w:cs="黑体"/>
          <w:sz w:val="24"/>
          <w:szCs w:val="24"/>
        </w:rPr>
        <w:t>测量过程的控制</w:t>
      </w:r>
      <w:r>
        <w:rPr>
          <w:rFonts w:hint="eastAsia" w:ascii="宋体" w:hAnsi="宋体" w:cs="黑体"/>
          <w:sz w:val="24"/>
          <w:szCs w:val="24"/>
          <w:lang w:eastAsia="zh-CN"/>
        </w:rPr>
        <w:t>检查表</w:t>
      </w:r>
      <w:r>
        <w:rPr>
          <w:rFonts w:hint="eastAsia" w:ascii="宋体" w:hAnsi="宋体" w:cs="黑体"/>
          <w:sz w:val="24"/>
          <w:szCs w:val="24"/>
        </w:rPr>
        <w:t>》信息内容完整、正确。</w:t>
      </w:r>
    </w:p>
    <w:p>
      <w:pPr>
        <w:snapToGrid w:val="0"/>
        <w:spacing w:line="360" w:lineRule="auto"/>
        <w:rPr>
          <w:rFonts w:ascii="宋体" w:hAnsi="宋体" w:cs="黑体"/>
          <w:sz w:val="24"/>
          <w:szCs w:val="24"/>
        </w:rPr>
      </w:pPr>
      <w:r>
        <w:rPr>
          <w:rFonts w:hint="eastAsia" w:ascii="宋体" w:hAnsi="宋体" w:cs="黑体"/>
          <w:sz w:val="24"/>
          <w:szCs w:val="24"/>
          <w:lang w:val="en-US" w:eastAsia="zh-CN"/>
        </w:rPr>
        <w:t>4.8</w:t>
      </w:r>
      <w:r>
        <w:rPr>
          <w:rFonts w:hint="eastAsia" w:ascii="宋体" w:hAnsi="宋体" w:cs="黑体"/>
          <w:sz w:val="24"/>
          <w:szCs w:val="24"/>
        </w:rPr>
        <w:t>《</w:t>
      </w:r>
      <w:r>
        <w:rPr>
          <w:rFonts w:hint="eastAsia" w:ascii="宋体" w:hAnsi="宋体" w:cs="黑体"/>
          <w:sz w:val="24"/>
          <w:szCs w:val="24"/>
          <w:lang w:val="en-US" w:eastAsia="zh-CN"/>
        </w:rPr>
        <w:t>抽油杆综合保护器轴承套外径尺寸测量</w:t>
      </w:r>
      <w:r>
        <w:rPr>
          <w:rFonts w:hint="eastAsia" w:ascii="宋体" w:hAnsi="宋体" w:cs="黑体"/>
          <w:sz w:val="24"/>
          <w:szCs w:val="24"/>
        </w:rPr>
        <w:t>测量过程监视方法、监视</w:t>
      </w:r>
      <w:r>
        <w:rPr>
          <w:rFonts w:hint="eastAsia" w:ascii="宋体" w:hAnsi="宋体" w:cs="黑体"/>
          <w:sz w:val="24"/>
          <w:szCs w:val="24"/>
          <w:lang w:eastAsia="zh-CN"/>
        </w:rPr>
        <w:t>及控制图</w:t>
      </w:r>
      <w:r>
        <w:rPr>
          <w:rFonts w:hint="eastAsia" w:ascii="宋体" w:hAnsi="宋体" w:cs="黑体"/>
          <w:sz w:val="24"/>
          <w:szCs w:val="24"/>
        </w:rPr>
        <w:t>》方法正确</w:t>
      </w:r>
    </w:p>
    <w:p>
      <w:pPr>
        <w:widowControl/>
        <w:spacing w:line="360" w:lineRule="auto"/>
        <w:rPr>
          <w:rFonts w:hint="eastAsia" w:asciiTheme="minorEastAsia" w:hAnsiTheme="minorEastAsia"/>
          <w:bCs/>
          <w:sz w:val="24"/>
          <w:szCs w:val="24"/>
        </w:rPr>
      </w:pPr>
      <w:r>
        <w:rPr>
          <w:rFonts w:hint="eastAsia" w:asciiTheme="minorEastAsia" w:hAnsiTheme="minorEastAsia"/>
          <w:bCs/>
          <w:sz w:val="24"/>
          <w:szCs w:val="24"/>
        </w:rPr>
        <w:t>5.对认证审核时提出的的不符合项的纠正措施情况有表述：</w:t>
      </w:r>
    </w:p>
    <w:p>
      <w:pPr>
        <w:widowControl/>
        <w:spacing w:line="360" w:lineRule="auto"/>
        <w:ind w:firstLine="480" w:firstLineChars="200"/>
        <w:rPr>
          <w:rFonts w:hint="default" w:cs="宋体" w:asciiTheme="minorEastAsia" w:hAnsiTheme="minorEastAsia" w:eastAsiaTheme="minorEastAsia"/>
          <w:bCs/>
          <w:color w:val="000000" w:themeColor="text1"/>
          <w:kern w:val="0"/>
          <w:sz w:val="24"/>
          <w:szCs w:val="24"/>
          <w:lang w:val="en-US" w:eastAsia="zh-CN"/>
        </w:rPr>
      </w:pPr>
      <w:r>
        <w:rPr>
          <w:rFonts w:hint="eastAsia" w:asciiTheme="minorEastAsia" w:hAnsiTheme="minorEastAsia"/>
          <w:bCs/>
          <w:sz w:val="24"/>
          <w:szCs w:val="24"/>
          <w:lang w:val="en-US" w:eastAsia="zh-CN"/>
        </w:rPr>
        <w:t>上一年度监督</w:t>
      </w:r>
      <w:r>
        <w:rPr>
          <w:rFonts w:hint="eastAsia" w:asciiTheme="minorEastAsia" w:hAnsiTheme="minorEastAsia"/>
          <w:bCs/>
          <w:sz w:val="24"/>
          <w:szCs w:val="24"/>
        </w:rPr>
        <w:t>审核</w:t>
      </w:r>
      <w:r>
        <w:rPr>
          <w:rFonts w:hint="eastAsia" w:asciiTheme="minorEastAsia" w:hAnsiTheme="minorEastAsia"/>
          <w:bCs/>
          <w:sz w:val="24"/>
          <w:szCs w:val="24"/>
          <w:lang w:val="en-US" w:eastAsia="zh-CN"/>
        </w:rPr>
        <w:t>未出具不符合项，符合要求。</w:t>
      </w:r>
    </w:p>
    <w:p>
      <w:pPr>
        <w:widowControl/>
        <w:spacing w:line="276" w:lineRule="auto"/>
        <w:rPr>
          <w:rFonts w:cs="宋体" w:asciiTheme="minorEastAsia" w:hAnsiTheme="minorEastAsia"/>
          <w:kern w:val="0"/>
          <w:szCs w:val="21"/>
        </w:rPr>
      </w:pPr>
      <w:r>
        <w:rPr>
          <w:rFonts w:cs="宋体" w:asciiTheme="minorEastAsia" w:hAnsiTheme="minorEastAsia"/>
          <w:kern w:val="0"/>
          <w:szCs w:val="21"/>
        </w:rPr>
        <w:t> </w:t>
      </w:r>
    </w:p>
    <w:p>
      <w:pPr>
        <w:widowControl/>
        <w:numPr>
          <w:ilvl w:val="0"/>
          <w:numId w:val="2"/>
        </w:numPr>
        <w:spacing w:line="360" w:lineRule="auto"/>
        <w:rPr>
          <w:rFonts w:hint="eastAsia" w:ascii="宋体" w:hAnsi="宋体"/>
          <w:sz w:val="24"/>
          <w:szCs w:val="24"/>
        </w:rPr>
      </w:pPr>
      <w:r>
        <w:rPr>
          <w:rFonts w:hint="eastAsia" w:ascii="宋体" w:hAnsi="宋体"/>
          <w:sz w:val="24"/>
          <w:szCs w:val="24"/>
        </w:rPr>
        <w:t>对投诉的处理情况：</w:t>
      </w:r>
    </w:p>
    <w:p>
      <w:pPr>
        <w:widowControl/>
        <w:numPr>
          <w:ilvl w:val="0"/>
          <w:numId w:val="0"/>
        </w:numPr>
        <w:spacing w:line="360" w:lineRule="auto"/>
        <w:ind w:firstLine="480" w:firstLineChars="200"/>
        <w:rPr>
          <w:rFonts w:cs="宋体" w:asciiTheme="minorEastAsia" w:hAnsiTheme="minorEastAsia"/>
          <w:bCs/>
          <w:kern w:val="0"/>
          <w:sz w:val="24"/>
          <w:szCs w:val="24"/>
        </w:rPr>
      </w:pPr>
      <w:r>
        <w:rPr>
          <w:rFonts w:hint="eastAsia" w:ascii="宋体" w:hAnsi="宋体"/>
          <w:sz w:val="24"/>
          <w:szCs w:val="24"/>
        </w:rPr>
        <w:t>公司目前尚未接到客户在产品质量、物料交接、能源、安全、现场管理等方面的投诉和纠纷。</w:t>
      </w:r>
    </w:p>
    <w:p>
      <w:pPr>
        <w:widowControl/>
        <w:spacing w:line="276" w:lineRule="auto"/>
        <w:rPr>
          <w:rFonts w:asciiTheme="minorEastAsia" w:hAnsiTheme="minorEastAsia"/>
          <w:bCs/>
          <w:szCs w:val="21"/>
        </w:rPr>
      </w:pPr>
    </w:p>
    <w:p>
      <w:pPr>
        <w:widowControl/>
        <w:numPr>
          <w:ilvl w:val="0"/>
          <w:numId w:val="2"/>
        </w:numPr>
        <w:spacing w:line="360" w:lineRule="auto"/>
        <w:ind w:left="0" w:leftChars="0" w:firstLine="0" w:firstLineChars="0"/>
        <w:rPr>
          <w:rFonts w:cs="宋体" w:asciiTheme="minorEastAsia" w:hAnsiTheme="minorEastAsia"/>
          <w:bCs/>
          <w:kern w:val="0"/>
          <w:sz w:val="24"/>
          <w:szCs w:val="24"/>
        </w:rPr>
      </w:pPr>
      <w:r>
        <w:rPr>
          <w:rFonts w:hint="eastAsia" w:ascii="宋体" w:hAnsi="宋体"/>
          <w:bCs/>
          <w:sz w:val="24"/>
          <w:szCs w:val="24"/>
        </w:rPr>
        <w:t>测量管理体系在实现获证客户目标方面的有效性及持续的运作控制情况：</w:t>
      </w:r>
    </w:p>
    <w:p>
      <w:pPr>
        <w:widowControl/>
        <w:numPr>
          <w:ilvl w:val="0"/>
          <w:numId w:val="0"/>
        </w:numPr>
        <w:spacing w:line="360" w:lineRule="auto"/>
        <w:ind w:leftChars="0" w:firstLine="720" w:firstLineChars="300"/>
        <w:rPr>
          <w:rFonts w:cs="宋体" w:asciiTheme="minorEastAsia" w:hAnsiTheme="minorEastAsia"/>
          <w:bCs/>
          <w:kern w:val="0"/>
          <w:sz w:val="24"/>
          <w:szCs w:val="24"/>
        </w:rPr>
      </w:pPr>
      <w:r>
        <w:rPr>
          <w:rFonts w:hint="eastAsia" w:ascii="宋体" w:hAnsi="宋体"/>
          <w:bCs/>
          <w:sz w:val="24"/>
          <w:szCs w:val="24"/>
        </w:rPr>
        <w:t>公司《计量工作质量目标管理程序》，规定了公司的计量方针及</w:t>
      </w:r>
      <w:r>
        <w:rPr>
          <w:rFonts w:hint="eastAsia" w:ascii="宋体" w:hAnsi="宋体"/>
          <w:bCs/>
          <w:sz w:val="24"/>
          <w:szCs w:val="24"/>
          <w:lang w:val="en-US" w:eastAsia="zh-CN"/>
        </w:rPr>
        <w:t>5</w:t>
      </w:r>
      <w:r>
        <w:rPr>
          <w:rFonts w:hint="eastAsia" w:ascii="宋体" w:hAnsi="宋体"/>
          <w:bCs/>
          <w:sz w:val="24"/>
          <w:szCs w:val="24"/>
        </w:rPr>
        <w:t>项质量目标 ，是</w:t>
      </w:r>
      <w:r>
        <w:rPr>
          <w:rFonts w:hint="eastAsia" w:asciiTheme="minorEastAsia" w:hAnsiTheme="minorEastAsia"/>
          <w:bCs/>
          <w:sz w:val="24"/>
          <w:szCs w:val="24"/>
        </w:rPr>
        <w:t>管理体系追求的承诺和准则，内容</w:t>
      </w:r>
      <w:r>
        <w:rPr>
          <w:rFonts w:hint="eastAsia" w:ascii="宋体" w:hAnsi="宋体"/>
          <w:bCs/>
          <w:sz w:val="24"/>
          <w:szCs w:val="24"/>
        </w:rPr>
        <w:t>基本覆盖标准要素。20</w:t>
      </w:r>
      <w:r>
        <w:rPr>
          <w:rFonts w:hint="eastAsia" w:ascii="宋体" w:hAnsi="宋体"/>
          <w:bCs/>
          <w:sz w:val="24"/>
          <w:szCs w:val="24"/>
          <w:lang w:val="en-US" w:eastAsia="zh-CN"/>
        </w:rPr>
        <w:t>20</w:t>
      </w:r>
      <w:r>
        <w:rPr>
          <w:rFonts w:hint="eastAsia" w:ascii="宋体" w:hAnsi="宋体"/>
          <w:bCs/>
          <w:sz w:val="24"/>
          <w:szCs w:val="24"/>
        </w:rPr>
        <w:t>年度，公司对质量目标进行</w:t>
      </w:r>
      <w:r>
        <w:rPr>
          <w:rFonts w:hint="eastAsia" w:ascii="宋体" w:hAnsi="宋体"/>
          <w:bCs/>
          <w:sz w:val="24"/>
          <w:szCs w:val="24"/>
          <w:lang w:val="en-US" w:eastAsia="zh-CN"/>
        </w:rPr>
        <w:t>分析改进</w:t>
      </w:r>
      <w:r>
        <w:rPr>
          <w:rFonts w:hint="eastAsia" w:ascii="宋体" w:hAnsi="宋体"/>
          <w:bCs/>
          <w:sz w:val="24"/>
          <w:szCs w:val="24"/>
        </w:rPr>
        <w:t>，</w:t>
      </w:r>
      <w:r>
        <w:rPr>
          <w:rFonts w:hint="eastAsia" w:ascii="宋体" w:hAnsi="宋体"/>
          <w:bCs/>
          <w:sz w:val="24"/>
          <w:szCs w:val="24"/>
          <w:lang w:val="en-US" w:eastAsia="zh-CN"/>
        </w:rPr>
        <w:t>完成情况较好</w:t>
      </w:r>
      <w:r>
        <w:rPr>
          <w:rFonts w:hint="eastAsia" w:ascii="宋体" w:hAnsi="宋体"/>
          <w:bCs/>
          <w:sz w:val="24"/>
          <w:szCs w:val="24"/>
        </w:rPr>
        <w:t>进一步</w:t>
      </w:r>
      <w:r>
        <w:rPr>
          <w:rFonts w:hint="eastAsia" w:ascii="宋体" w:hAnsi="宋体"/>
          <w:bCs/>
          <w:sz w:val="24"/>
          <w:szCs w:val="24"/>
          <w:lang w:val="en-US" w:eastAsia="zh-CN"/>
        </w:rPr>
        <w:t>满足</w:t>
      </w:r>
      <w:r>
        <w:rPr>
          <w:rFonts w:hint="eastAsia" w:ascii="宋体" w:hAnsi="宋体"/>
          <w:bCs/>
          <w:sz w:val="24"/>
          <w:szCs w:val="24"/>
        </w:rPr>
        <w:t>顾客、质量、服务等方面的要求，</w:t>
      </w:r>
      <w:r>
        <w:rPr>
          <w:rFonts w:hint="eastAsia" w:ascii="宋体" w:hAnsi="宋体"/>
          <w:color w:val="000000" w:themeColor="text1"/>
          <w:sz w:val="24"/>
          <w:szCs w:val="24"/>
        </w:rPr>
        <w:t>符合GB/T 19022-2003标准要求，</w:t>
      </w:r>
      <w:r>
        <w:rPr>
          <w:rFonts w:hint="eastAsia" w:ascii="宋体" w:hAnsi="宋体"/>
          <w:bCs/>
          <w:sz w:val="24"/>
          <w:szCs w:val="24"/>
        </w:rPr>
        <w:t>使其更具有动态性和适应性、</w:t>
      </w:r>
      <w:r>
        <w:rPr>
          <w:rFonts w:hint="eastAsia" w:asciiTheme="minorEastAsia" w:hAnsiTheme="minorEastAsia"/>
          <w:bCs/>
          <w:sz w:val="24"/>
          <w:szCs w:val="24"/>
        </w:rPr>
        <w:t>有效性及对持续运作的控制。</w:t>
      </w:r>
    </w:p>
    <w:p>
      <w:pPr>
        <w:snapToGrid w:val="0"/>
        <w:spacing w:line="360" w:lineRule="auto"/>
        <w:ind w:right="-512" w:rightChars="-244"/>
        <w:rPr>
          <w:rFonts w:hint="eastAsia" w:ascii="宋体" w:hAnsi="宋体"/>
          <w:sz w:val="24"/>
          <w:szCs w:val="24"/>
          <w:highlight w:val="none"/>
          <w:lang w:val="en-US" w:eastAsia="zh-CN"/>
        </w:rPr>
      </w:pPr>
    </w:p>
    <w:p>
      <w:pPr>
        <w:numPr>
          <w:ilvl w:val="0"/>
          <w:numId w:val="2"/>
        </w:numPr>
        <w:snapToGrid w:val="0"/>
        <w:spacing w:line="360" w:lineRule="auto"/>
        <w:ind w:left="0" w:leftChars="0" w:right="-512" w:rightChars="-244" w:firstLine="0" w:firstLineChars="0"/>
        <w:rPr>
          <w:rFonts w:hint="eastAsia" w:ascii="宋体" w:hAnsi="宋体"/>
          <w:sz w:val="24"/>
          <w:szCs w:val="24"/>
          <w:highlight w:val="none"/>
          <w:shd w:val="clear" w:color="auto" w:fill="auto"/>
          <w:lang w:val="en-US" w:eastAsia="zh-CN"/>
        </w:rPr>
      </w:pPr>
      <w:r>
        <w:rPr>
          <w:rFonts w:hint="eastAsia" w:ascii="宋体" w:hAnsi="宋体"/>
          <w:sz w:val="24"/>
          <w:szCs w:val="24"/>
          <w:highlight w:val="none"/>
          <w:lang w:val="en-US" w:eastAsia="zh-CN"/>
        </w:rPr>
        <w:t>对企业组织任何变更的审核 企业营业执照因市场监督管理局网络原因将注册资本填写错误，现更正为 伍仟万元整已于2020年12月3日换发新的营业执照，其它无变化，企业管理者代表更换为尹昊，组织机构及测量管理体系认证范围无变化，符合要求。</w:t>
      </w:r>
    </w:p>
    <w:p>
      <w:pPr>
        <w:numPr>
          <w:ilvl w:val="0"/>
          <w:numId w:val="2"/>
        </w:numPr>
        <w:snapToGrid w:val="0"/>
        <w:spacing w:line="360" w:lineRule="auto"/>
        <w:ind w:left="0" w:leftChars="0" w:right="-512" w:rightChars="-244" w:firstLine="0"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9.标志的使用和（或）任何其他对认证资格引用的情况：</w:t>
      </w:r>
    </w:p>
    <w:p>
      <w:pPr>
        <w:snapToGrid w:val="0"/>
        <w:spacing w:line="360" w:lineRule="auto"/>
        <w:ind w:right="-512" w:rightChars="-244" w:firstLine="240" w:firstLineChars="100"/>
        <w:rPr>
          <w:rFonts w:hint="eastAsia" w:asciiTheme="minorEastAsia" w:hAnsiTheme="minorEastAsia"/>
          <w:bCs/>
          <w:sz w:val="24"/>
          <w:szCs w:val="24"/>
        </w:rPr>
      </w:pPr>
      <w:r>
        <w:rPr>
          <w:rFonts w:hint="eastAsia" w:ascii="宋体" w:hAnsi="宋体"/>
          <w:sz w:val="24"/>
          <w:szCs w:val="24"/>
          <w:highlight w:val="none"/>
          <w:lang w:val="en-US" w:eastAsia="zh-CN"/>
        </w:rPr>
        <w:t>公司对标志的使用，符合相关标准</w:t>
      </w:r>
      <w:r>
        <w:rPr>
          <w:rFonts w:hint="eastAsia"/>
          <w:bCs/>
          <w:sz w:val="24"/>
          <w:szCs w:val="24"/>
        </w:rPr>
        <w:t>和规定。公司测量</w:t>
      </w:r>
      <w:r>
        <w:rPr>
          <w:rFonts w:hint="eastAsia" w:asciiTheme="minorEastAsia" w:hAnsiTheme="minorEastAsia"/>
          <w:bCs/>
          <w:sz w:val="24"/>
          <w:szCs w:val="24"/>
        </w:rPr>
        <w:t>管理体系认证证书用于企业形象广告宣传：</w:t>
      </w:r>
    </w:p>
    <w:p>
      <w:pPr>
        <w:numPr>
          <w:ilvl w:val="0"/>
          <w:numId w:val="2"/>
        </w:numPr>
        <w:snapToGrid w:val="0"/>
        <w:spacing w:line="360" w:lineRule="auto"/>
        <w:ind w:left="0" w:leftChars="0" w:right="-512" w:rightChars="-244" w:firstLine="0" w:firstLineChars="0"/>
        <w:rPr>
          <w:rFonts w:hint="eastAsia" w:ascii="宋体" w:hAnsi="宋体"/>
          <w:sz w:val="24"/>
          <w:szCs w:val="24"/>
          <w:highlight w:val="none"/>
          <w:shd w:val="clear" w:color="auto" w:fill="auto"/>
        </w:rPr>
      </w:pPr>
      <w:r>
        <w:rPr>
          <w:rFonts w:hint="eastAsia" w:ascii="宋体" w:hAnsi="宋体"/>
          <w:sz w:val="24"/>
          <w:szCs w:val="24"/>
          <w:highlight w:val="none"/>
          <w:shd w:val="clear" w:color="auto" w:fill="auto"/>
        </w:rPr>
        <w:t>本次审核出具不符合项</w:t>
      </w:r>
      <w:r>
        <w:rPr>
          <w:rFonts w:hint="eastAsia" w:ascii="宋体" w:hAnsi="宋体"/>
          <w:sz w:val="24"/>
          <w:szCs w:val="24"/>
          <w:highlight w:val="none"/>
          <w:shd w:val="clear" w:color="auto" w:fill="auto"/>
          <w:lang w:val="en-US" w:eastAsia="zh-CN"/>
        </w:rPr>
        <w:t>一项</w:t>
      </w:r>
      <w:r>
        <w:rPr>
          <w:rFonts w:hint="eastAsia" w:ascii="宋体" w:hAnsi="宋体"/>
          <w:sz w:val="24"/>
          <w:szCs w:val="24"/>
          <w:highlight w:val="none"/>
          <w:shd w:val="clear" w:color="auto" w:fill="auto"/>
        </w:rPr>
        <w:t>，未发现严重或系统性的不符合情况。</w:t>
      </w:r>
    </w:p>
    <w:p>
      <w:pPr>
        <w:widowControl/>
        <w:spacing w:line="360" w:lineRule="auto"/>
        <w:jc w:val="left"/>
        <w:rPr>
          <w:rFonts w:hint="default" w:ascii="宋体" w:hAnsi="宋体" w:eastAsia="宋体" w:cs="宋体"/>
          <w:kern w:val="0"/>
          <w:szCs w:val="21"/>
          <w:u w:val="single"/>
          <w:lang w:val="en-US" w:eastAsia="zh-CN"/>
        </w:rPr>
      </w:pPr>
      <w:r>
        <w:rPr>
          <w:rFonts w:hint="eastAsia" w:ascii="宋体" w:hAnsi="宋体" w:cs="宋体"/>
          <w:kern w:val="0"/>
          <w:szCs w:val="21"/>
          <w:lang w:val="en-US" w:eastAsia="zh-CN"/>
        </w:rPr>
        <w:t>在技术质量部发现用于实验用的，编号为201859998、型号为BSXT-02的索氏抽提器、检定校准日期为2020年7月28日没有纳入测量设备台账中管理不符合</w:t>
      </w:r>
      <w:r>
        <w:rPr>
          <w:rFonts w:hint="eastAsia" w:ascii="宋体" w:hAnsi="宋体"/>
          <w:color w:val="auto"/>
          <w:szCs w:val="21"/>
          <w:lang w:val="en-US" w:eastAsia="zh-CN"/>
        </w:rPr>
        <w:t>GB/T19022-2003标准中6.3.1测量设备条款“</w:t>
      </w:r>
      <w:r>
        <w:rPr>
          <w:rFonts w:hint="eastAsia" w:ascii="宋体" w:hAnsi="宋体" w:eastAsia="宋体" w:cs="宋体"/>
          <w:color w:val="000000"/>
          <w:kern w:val="0"/>
          <w:sz w:val="19"/>
          <w:szCs w:val="19"/>
          <w:lang w:val="en-US" w:eastAsia="zh-CN" w:bidi="ar"/>
        </w:rPr>
        <w:t>用于监视和记录影响量 的测量管理体系内</w:t>
      </w:r>
      <w:r>
        <w:rPr>
          <w:rFonts w:hint="eastAsia" w:ascii="宋体" w:hAnsi="宋体"/>
          <w:color w:val="auto"/>
          <w:szCs w:val="21"/>
          <w:lang w:val="en-US" w:eastAsia="zh-CN"/>
        </w:rPr>
        <w:t>”</w:t>
      </w:r>
      <w:r>
        <w:rPr>
          <w:rFonts w:hint="eastAsia" w:ascii="宋体" w:hAnsi="宋体" w:cs="宋体"/>
          <w:kern w:val="0"/>
          <w:szCs w:val="21"/>
        </w:rPr>
        <w:t>的规定要求</w:t>
      </w:r>
      <w:r>
        <w:rPr>
          <w:rFonts w:hint="eastAsia" w:ascii="宋体" w:hAnsi="宋体"/>
          <w:color w:val="auto"/>
          <w:szCs w:val="21"/>
          <w:lang w:val="en-US" w:eastAsia="zh-CN"/>
        </w:rPr>
        <w:t>。</w:t>
      </w:r>
      <w:r>
        <w:rPr>
          <w:rFonts w:ascii="宋体" w:hAnsi="宋体" w:cs="宋体"/>
          <w:kern w:val="0"/>
          <w:szCs w:val="21"/>
        </w:rPr>
        <w:t>不符</w:t>
      </w:r>
      <w:r>
        <w:rPr>
          <w:rFonts w:ascii="宋体" w:hAnsi="宋体" w:eastAsia="宋体" w:cs="宋体"/>
          <w:kern w:val="0"/>
          <w:szCs w:val="21"/>
        </w:rPr>
        <w:t>合</w:t>
      </w:r>
      <w:r>
        <w:rPr>
          <w:rFonts w:hint="eastAsia" w:ascii="宋体" w:hAnsi="宋体" w:eastAsia="宋体" w:cs="宋体"/>
          <w:kern w:val="0"/>
          <w:szCs w:val="21"/>
        </w:rPr>
        <w:t>认证</w:t>
      </w:r>
      <w:r>
        <w:rPr>
          <w:rStyle w:val="9"/>
          <w:rFonts w:ascii="宋体" w:hAnsi="宋体" w:eastAsia="宋体"/>
          <w:sz w:val="21"/>
          <w:szCs w:val="21"/>
          <w:lang w:val="zh-CN"/>
        </w:rPr>
        <w:t>审核准则</w:t>
      </w:r>
      <w:r>
        <w:rPr>
          <w:rFonts w:ascii="宋体" w:hAnsi="宋体" w:eastAsia="宋体" w:cs="宋体"/>
          <w:kern w:val="0"/>
          <w:szCs w:val="21"/>
        </w:rPr>
        <w:t>条</w:t>
      </w:r>
      <w:r>
        <w:rPr>
          <w:rFonts w:ascii="宋体" w:hAnsi="宋体" w:cs="宋体"/>
          <w:kern w:val="0"/>
          <w:szCs w:val="21"/>
        </w:rPr>
        <w:t>款号：</w:t>
      </w:r>
      <w:r>
        <w:rPr>
          <w:rFonts w:hint="eastAsia" w:ascii="宋体" w:hAnsi="宋体" w:cs="宋体"/>
          <w:kern w:val="0"/>
          <w:szCs w:val="21"/>
          <w:u w:val="none"/>
          <w:lang w:val="en-US" w:eastAsia="zh-CN"/>
        </w:rPr>
        <w:t xml:space="preserve"> </w:t>
      </w:r>
      <w:r>
        <w:rPr>
          <w:rFonts w:hint="eastAsia" w:ascii="宋体" w:hAnsi="宋体" w:cs="宋体"/>
          <w:kern w:val="0"/>
          <w:szCs w:val="21"/>
          <w:u w:val="single"/>
          <w:lang w:val="en-US" w:eastAsia="zh-CN"/>
        </w:rPr>
        <w:t xml:space="preserve"> 6.3.1</w:t>
      </w:r>
      <w:r>
        <w:rPr>
          <w:rFonts w:hint="eastAsia" w:ascii="宋体" w:hAnsi="宋体" w:cs="宋体"/>
          <w:kern w:val="0"/>
          <w:szCs w:val="21"/>
          <w:u w:val="single"/>
        </w:rPr>
        <w:t>条款</w:t>
      </w:r>
      <w:r>
        <w:rPr>
          <w:rFonts w:hint="eastAsia" w:ascii="宋体" w:hAnsi="宋体" w:cs="宋体"/>
          <w:kern w:val="0"/>
          <w:szCs w:val="21"/>
          <w:u w:val="single"/>
          <w:lang w:val="en-US" w:eastAsia="zh-CN"/>
        </w:rPr>
        <w:t xml:space="preserve"> </w:t>
      </w:r>
      <w:r>
        <w:rPr>
          <w:rFonts w:hint="eastAsia" w:ascii="宋体" w:hAnsi="宋体"/>
          <w:color w:val="auto"/>
          <w:szCs w:val="21"/>
          <w:u w:val="single"/>
          <w:lang w:val="en-US" w:eastAsia="zh-CN"/>
        </w:rPr>
        <w:t>测量设备</w:t>
      </w:r>
    </w:p>
    <w:p>
      <w:pPr>
        <w:numPr>
          <w:ilvl w:val="0"/>
          <w:numId w:val="0"/>
        </w:numPr>
        <w:snapToGrid w:val="0"/>
        <w:spacing w:line="400" w:lineRule="exact"/>
        <w:ind w:right="-512" w:rightChars="-244"/>
        <w:rPr>
          <w:rFonts w:ascii="宋体" w:hAnsi="宋体" w:eastAsia="宋体" w:cs="宋体"/>
          <w:kern w:val="0"/>
          <w:szCs w:val="28"/>
        </w:rPr>
      </w:pPr>
      <w:r>
        <w:rPr>
          <w:rFonts w:hint="eastAsia" w:ascii="宋体" w:hAnsi="宋体" w:eastAsia="宋体" w:cs="宋体"/>
          <w:b/>
          <w:bCs/>
          <w:kern w:val="0"/>
          <w:szCs w:val="21"/>
          <w:lang w:val="en-US" w:eastAsia="zh-CN"/>
        </w:rPr>
        <w:t>三．</w:t>
      </w:r>
      <w:r>
        <w:rPr>
          <w:rFonts w:ascii="宋体" w:hAnsi="宋体" w:eastAsia="宋体" w:cs="宋体"/>
          <w:b/>
          <w:bCs/>
          <w:kern w:val="0"/>
          <w:szCs w:val="21"/>
        </w:rPr>
        <w:t>监督审核结论意见</w:t>
      </w:r>
      <w:r>
        <w:rPr>
          <w:rFonts w:ascii="宋体" w:hAnsi="宋体" w:eastAsia="宋体" w:cs="宋体"/>
          <w:kern w:val="0"/>
          <w:szCs w:val="28"/>
        </w:rPr>
        <w:t>:</w:t>
      </w:r>
    </w:p>
    <w:p>
      <w:pPr>
        <w:snapToGrid w:val="0"/>
        <w:spacing w:line="400" w:lineRule="exact"/>
        <w:ind w:right="-512" w:rightChars="-244" w:firstLine="1200" w:firstLineChars="500"/>
        <w:rPr>
          <w:rFonts w:hint="eastAsia" w:ascii="宋体" w:hAnsi="宋体" w:eastAsia="宋体" w:cs="Times New Roman"/>
          <w:sz w:val="24"/>
          <w:szCs w:val="24"/>
          <w:highlight w:val="none"/>
          <w:lang w:val="en-US" w:eastAsia="zh-CN"/>
        </w:rPr>
      </w:pPr>
      <w:r>
        <w:rPr>
          <w:rStyle w:val="10"/>
          <w:rFonts w:hint="eastAsia" w:ascii="宋体" w:hAnsi="宋体" w:eastAsia="宋体"/>
          <w:color w:val="002060"/>
          <w:sz w:val="24"/>
          <w:szCs w:val="24"/>
        </w:rPr>
        <w:t>通过</w:t>
      </w:r>
      <w:r>
        <w:rPr>
          <w:rStyle w:val="10"/>
          <w:rFonts w:hint="eastAsia" w:ascii="宋体" w:hAnsi="宋体" w:eastAsia="宋体"/>
          <w:sz w:val="24"/>
          <w:szCs w:val="24"/>
        </w:rPr>
        <w:t>20</w:t>
      </w:r>
      <w:r>
        <w:rPr>
          <w:rStyle w:val="10"/>
          <w:rFonts w:hint="eastAsia" w:ascii="宋体" w:hAnsi="宋体" w:eastAsia="宋体"/>
          <w:sz w:val="24"/>
          <w:szCs w:val="24"/>
          <w:lang w:val="en-US" w:eastAsia="zh-CN"/>
        </w:rPr>
        <w:t>20</w:t>
      </w:r>
      <w:r>
        <w:rPr>
          <w:rStyle w:val="10"/>
          <w:rFonts w:ascii="宋体" w:hAnsi="宋体" w:eastAsia="宋体"/>
          <w:sz w:val="24"/>
          <w:szCs w:val="24"/>
        </w:rPr>
        <w:t>年</w:t>
      </w:r>
      <w:r>
        <w:rPr>
          <w:rStyle w:val="10"/>
          <w:rFonts w:hint="eastAsia" w:ascii="宋体" w:hAnsi="宋体" w:eastAsia="宋体"/>
          <w:sz w:val="24"/>
          <w:szCs w:val="24"/>
          <w:lang w:val="en-US" w:eastAsia="zh-CN"/>
        </w:rPr>
        <w:t>12</w:t>
      </w:r>
      <w:r>
        <w:rPr>
          <w:rStyle w:val="10"/>
          <w:rFonts w:ascii="宋体" w:hAnsi="宋体" w:eastAsia="宋体"/>
          <w:sz w:val="24"/>
          <w:szCs w:val="24"/>
        </w:rPr>
        <w:t>月</w:t>
      </w:r>
      <w:r>
        <w:rPr>
          <w:rStyle w:val="10"/>
          <w:rFonts w:hint="eastAsia" w:ascii="宋体" w:hAnsi="宋体" w:eastAsia="宋体"/>
          <w:sz w:val="24"/>
          <w:szCs w:val="24"/>
          <w:lang w:val="en-US" w:eastAsia="zh-CN"/>
        </w:rPr>
        <w:t>16</w:t>
      </w:r>
      <w:r>
        <w:rPr>
          <w:rStyle w:val="10"/>
          <w:rFonts w:ascii="宋体" w:hAnsi="宋体" w:eastAsia="宋体"/>
          <w:sz w:val="24"/>
          <w:szCs w:val="24"/>
        </w:rPr>
        <w:t>日</w:t>
      </w:r>
      <w:r>
        <w:rPr>
          <w:rStyle w:val="10"/>
          <w:rFonts w:hint="eastAsia" w:ascii="宋体" w:hAnsi="宋体" w:eastAsia="宋体"/>
          <w:sz w:val="24"/>
          <w:szCs w:val="24"/>
        </w:rPr>
        <w:t>，</w:t>
      </w:r>
      <w:r>
        <w:rPr>
          <w:rStyle w:val="10"/>
          <w:rFonts w:ascii="宋体" w:hAnsi="宋体" w:eastAsia="宋体"/>
          <w:sz w:val="24"/>
          <w:szCs w:val="24"/>
        </w:rPr>
        <w:t>对测量管理</w:t>
      </w:r>
      <w:r>
        <w:rPr>
          <w:rStyle w:val="10"/>
          <w:rFonts w:hint="eastAsia" w:ascii="宋体" w:hAnsi="宋体" w:eastAsia="宋体"/>
          <w:sz w:val="24"/>
          <w:szCs w:val="24"/>
          <w:lang w:val="en-US" w:eastAsia="zh-CN"/>
        </w:rPr>
        <w:t>体系进行现场</w:t>
      </w:r>
      <w:r>
        <w:rPr>
          <w:rStyle w:val="10"/>
          <w:rFonts w:hint="eastAsia" w:ascii="宋体" w:hAnsi="宋体" w:eastAsia="宋体"/>
          <w:sz w:val="24"/>
          <w:szCs w:val="24"/>
        </w:rPr>
        <w:t>监督</w:t>
      </w:r>
      <w:r>
        <w:rPr>
          <w:rStyle w:val="10"/>
          <w:rFonts w:ascii="宋体" w:hAnsi="宋体" w:eastAsia="宋体"/>
          <w:sz w:val="24"/>
          <w:szCs w:val="24"/>
        </w:rPr>
        <w:t>审核</w:t>
      </w:r>
      <w:r>
        <w:rPr>
          <w:rFonts w:hint="eastAsia" w:asciiTheme="minorEastAsia" w:hAnsiTheme="minorEastAsia"/>
          <w:bCs/>
          <w:sz w:val="24"/>
          <w:szCs w:val="24"/>
        </w:rPr>
        <w:t>.验证了公司在测量管理体系实现认证后，</w:t>
      </w:r>
      <w:r>
        <w:rPr>
          <w:rFonts w:hint="eastAsia" w:ascii="宋体" w:hAnsi="宋体"/>
          <w:sz w:val="24"/>
          <w:szCs w:val="24"/>
          <w:lang w:eastAsia="zh-CN"/>
        </w:rPr>
        <w:t>奥宸科技</w:t>
      </w:r>
      <w:r>
        <w:rPr>
          <w:rFonts w:hint="eastAsia" w:ascii="宋体" w:hAnsi="宋体"/>
          <w:sz w:val="24"/>
          <w:szCs w:val="24"/>
        </w:rPr>
        <w:t>有限</w:t>
      </w:r>
      <w:r>
        <w:rPr>
          <w:rFonts w:hint="eastAsia" w:ascii="宋体" w:hAnsi="宋体"/>
          <w:sz w:val="24"/>
          <w:szCs w:val="24"/>
          <w:lang w:val="en-US" w:eastAsia="zh-CN"/>
        </w:rPr>
        <w:t>公司</w:t>
      </w:r>
      <w:r>
        <w:rPr>
          <w:rFonts w:hint="eastAsia" w:ascii="宋体" w:hAnsi="宋体"/>
          <w:sz w:val="24"/>
          <w:szCs w:val="24"/>
        </w:rPr>
        <w:t>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w:t>
      </w:r>
      <w:r>
        <w:rPr>
          <w:rFonts w:hint="eastAsia" w:ascii="宋体" w:hAnsi="宋体" w:eastAsia="宋体" w:cs="Times New Roman"/>
          <w:sz w:val="24"/>
          <w:szCs w:val="24"/>
          <w:highlight w:val="none"/>
          <w:lang w:val="en-US" w:eastAsia="zh-CN"/>
        </w:rPr>
        <w:t>测量要求。</w:t>
      </w:r>
    </w:p>
    <w:p>
      <w:pPr>
        <w:snapToGrid w:val="0"/>
        <w:spacing w:line="400" w:lineRule="exact"/>
        <w:ind w:right="-512" w:rightChars="-244" w:firstLine="1200" w:firstLineChars="5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用能单位的能源计量器具准确度等级：</w:t>
      </w:r>
      <w:r>
        <w:rPr>
          <w:rFonts w:hint="eastAsia" w:ascii="宋体" w:hAnsi="宋体"/>
          <w:color w:val="auto"/>
          <w:szCs w:val="21"/>
        </w:rPr>
        <w:t>企业</w:t>
      </w:r>
      <w:r>
        <w:rPr>
          <w:rFonts w:ascii="宋体" w:hAnsi="宋体"/>
          <w:color w:val="auto"/>
          <w:szCs w:val="21"/>
        </w:rPr>
        <w:t>的能源计</w:t>
      </w:r>
      <w:r>
        <w:rPr>
          <w:rFonts w:ascii="宋体" w:hAnsi="宋体"/>
          <w:szCs w:val="21"/>
        </w:rPr>
        <w:t>量器具准确度等级</w:t>
      </w:r>
      <w:r>
        <w:rPr>
          <w:rFonts w:hint="eastAsia" w:ascii="宋体" w:hAnsi="宋体"/>
          <w:szCs w:val="21"/>
        </w:rPr>
        <w:t>：</w:t>
      </w:r>
      <w:r>
        <w:rPr>
          <w:rFonts w:hint="eastAsia" w:ascii="宋体" w:hAnsi="宋体"/>
          <w:szCs w:val="21"/>
          <w:lang w:val="en-US" w:eastAsia="zh-CN"/>
        </w:rPr>
        <w:t>2.0</w:t>
      </w:r>
      <w:r>
        <w:rPr>
          <w:rFonts w:hint="eastAsia"/>
          <w:szCs w:val="21"/>
        </w:rPr>
        <w:t>级的三相四线电能表和2</w:t>
      </w:r>
      <w:r>
        <w:rPr>
          <w:rFonts w:hint="eastAsia"/>
          <w:szCs w:val="21"/>
          <w:lang w:val="en-US" w:eastAsia="zh-CN"/>
        </w:rPr>
        <w:t>.5</w:t>
      </w:r>
      <w:r>
        <w:rPr>
          <w:rFonts w:hint="eastAsia" w:ascii="宋体" w:hAnsi="宋体" w:eastAsia="宋体" w:cs="宋体"/>
          <w:bCs/>
          <w:kern w:val="0"/>
          <w:szCs w:val="21"/>
        </w:rPr>
        <w:t>级的水表</w:t>
      </w:r>
      <w:r>
        <w:rPr>
          <w:rFonts w:hint="eastAsia" w:ascii="宋体" w:hAnsi="宋体" w:eastAsia="宋体" w:cs="Times New Roman"/>
          <w:sz w:val="24"/>
          <w:szCs w:val="24"/>
          <w:highlight w:val="none"/>
          <w:lang w:val="en-US" w:eastAsia="zh-CN"/>
        </w:rPr>
        <w:t>，满足GB17167标准4.3.8表4的要求 电能表均由当地供电部门统一管理，水表由当地供水部门统一管理，对每月用电用水情况有统计。能源数据每月抄表，满足要求。</w:t>
      </w:r>
    </w:p>
    <w:p>
      <w:pPr>
        <w:snapToGrid w:val="0"/>
        <w:spacing w:line="400" w:lineRule="exact"/>
        <w:ind w:right="-512" w:rightChars="-244" w:firstLine="1200" w:firstLineChars="500"/>
        <w:rPr>
          <w:rFonts w:hint="eastAsia" w:ascii="宋体" w:hAnsi="宋体"/>
          <w:sz w:val="24"/>
          <w:szCs w:val="24"/>
        </w:rPr>
      </w:pPr>
      <w:r>
        <w:rPr>
          <w:rFonts w:hint="eastAsia" w:ascii="宋体" w:hAnsi="宋体" w:eastAsia="宋体" w:cs="Times New Roman"/>
          <w:sz w:val="24"/>
          <w:szCs w:val="24"/>
          <w:highlight w:val="none"/>
          <w:lang w:val="en-US" w:eastAsia="zh-CN"/>
        </w:rPr>
        <w:t>综上所述，审核组认为奥宸科技有限公司测量管理体系，符合</w:t>
      </w:r>
      <w:r>
        <w:rPr>
          <w:rFonts w:hint="eastAsia" w:ascii="宋体" w:hAnsi="宋体"/>
          <w:sz w:val="24"/>
          <w:szCs w:val="24"/>
        </w:rPr>
        <w:t>GB/T 19022-2003标准要求，对体系运行具有持续的有效性、符合性予以肯定。建议报请国标联合认证有限公司批准通过监督审核。</w:t>
      </w:r>
    </w:p>
    <w:p>
      <w:pPr>
        <w:snapToGrid w:val="0"/>
        <w:spacing w:line="400" w:lineRule="exact"/>
        <w:ind w:right="-512" w:rightChars="-244" w:firstLine="1200" w:firstLineChars="500"/>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另为了促进支持企业测量管理体系持续提高，建议企业对</w:t>
      </w:r>
      <w:r>
        <w:rPr>
          <w:rFonts w:hint="eastAsia" w:ascii="宋体" w:hAnsi="宋体" w:eastAsia="宋体" w:cs="Times New Roman"/>
          <w:sz w:val="24"/>
          <w:szCs w:val="24"/>
          <w:highlight w:val="none"/>
        </w:rPr>
        <w:t>测量设备</w:t>
      </w:r>
      <w:r>
        <w:rPr>
          <w:rFonts w:hint="eastAsia" w:ascii="宋体" w:hAnsi="宋体" w:eastAsia="宋体" w:cs="Times New Roman"/>
          <w:sz w:val="24"/>
          <w:szCs w:val="24"/>
          <w:highlight w:val="none"/>
          <w:lang w:val="en-US" w:eastAsia="zh-CN"/>
        </w:rPr>
        <w:t>台账中存在的问题</w:t>
      </w:r>
      <w:r>
        <w:rPr>
          <w:rFonts w:hint="eastAsia" w:ascii="宋体" w:hAnsi="宋体" w:eastAsia="宋体" w:cs="Times New Roman"/>
          <w:sz w:val="24"/>
          <w:szCs w:val="24"/>
          <w:highlight w:val="none"/>
        </w:rPr>
        <w:t>进一步</w:t>
      </w:r>
      <w:r>
        <w:rPr>
          <w:rFonts w:hint="eastAsia" w:ascii="宋体" w:hAnsi="宋体" w:eastAsia="宋体" w:cs="Times New Roman"/>
          <w:sz w:val="24"/>
          <w:szCs w:val="24"/>
          <w:highlight w:val="none"/>
          <w:lang w:val="en-US" w:eastAsia="zh-CN"/>
        </w:rPr>
        <w:t>完善</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各个部门之间协调配合，帐物相符，现场测量设备标识统一管理清晰完整，</w:t>
      </w:r>
      <w:r>
        <w:rPr>
          <w:rFonts w:hint="eastAsia" w:ascii="宋体" w:hAnsi="宋体" w:eastAsia="宋体" w:cs="Times New Roman"/>
          <w:sz w:val="24"/>
          <w:szCs w:val="24"/>
          <w:highlight w:val="none"/>
        </w:rPr>
        <w:t>公司应对全公司测量设备</w:t>
      </w:r>
      <w:r>
        <w:rPr>
          <w:rFonts w:hint="eastAsia" w:ascii="宋体" w:hAnsi="宋体" w:eastAsia="宋体" w:cs="Times New Roman"/>
          <w:sz w:val="24"/>
          <w:szCs w:val="24"/>
          <w:highlight w:val="none"/>
          <w:lang w:val="en-US" w:eastAsia="zh-CN"/>
        </w:rPr>
        <w:t>都应纳入管理，并进行</w:t>
      </w:r>
      <w:r>
        <w:rPr>
          <w:rFonts w:hint="eastAsia" w:ascii="宋体" w:hAnsi="宋体" w:eastAsia="宋体" w:cs="Times New Roman"/>
          <w:sz w:val="24"/>
          <w:szCs w:val="24"/>
          <w:highlight w:val="none"/>
        </w:rPr>
        <w:t>A、B、C分类管理</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对内审中发现的问题，进一步有效的整改完善，</w:t>
      </w:r>
      <w:r>
        <w:rPr>
          <w:rFonts w:hint="eastAsia" w:ascii="宋体" w:hAnsi="宋体" w:eastAsia="宋体" w:cs="Times New Roman"/>
          <w:sz w:val="24"/>
          <w:szCs w:val="24"/>
          <w:highlight w:val="none"/>
          <w:lang w:val="en-US" w:eastAsia="zh-CN"/>
        </w:rPr>
        <w:t>加强内审员业务水平的提升</w:t>
      </w:r>
      <w:r>
        <w:rPr>
          <w:rFonts w:hint="eastAsia" w:ascii="宋体" w:hAnsi="宋体" w:eastAsia="宋体" w:cs="Times New Roman"/>
          <w:sz w:val="24"/>
          <w:szCs w:val="24"/>
          <w:highlight w:val="none"/>
        </w:rPr>
        <w:t>以达到提高</w:t>
      </w:r>
      <w:r>
        <w:rPr>
          <w:rFonts w:hint="eastAsia" w:ascii="宋体" w:hAnsi="宋体" w:eastAsia="宋体" w:cs="Times New Roman"/>
          <w:sz w:val="24"/>
          <w:szCs w:val="24"/>
          <w:highlight w:val="none"/>
          <w:lang w:val="en-US" w:eastAsia="zh-CN"/>
        </w:rPr>
        <w:t>企业</w:t>
      </w:r>
      <w:r>
        <w:rPr>
          <w:rFonts w:hint="eastAsia" w:ascii="宋体" w:hAnsi="宋体" w:eastAsia="宋体" w:cs="Times New Roman"/>
          <w:sz w:val="24"/>
          <w:szCs w:val="24"/>
          <w:highlight w:val="none"/>
        </w:rPr>
        <w:t>的</w:t>
      </w:r>
      <w:r>
        <w:rPr>
          <w:rFonts w:hint="eastAsia" w:ascii="宋体" w:hAnsi="宋体" w:eastAsia="宋体" w:cs="Times New Roman"/>
          <w:sz w:val="24"/>
          <w:szCs w:val="24"/>
          <w:highlight w:val="none"/>
          <w:lang w:val="en-US" w:eastAsia="zh-CN"/>
        </w:rPr>
        <w:t>内部管理水平，为企业发展助力。</w:t>
      </w:r>
    </w:p>
    <w:p>
      <w:pPr>
        <w:widowControl/>
        <w:spacing w:line="276" w:lineRule="auto"/>
        <w:rPr>
          <w:rFonts w:ascii="宋体" w:hAnsi="宋体" w:eastAsia="宋体" w:cs="宋体"/>
          <w:b/>
          <w:bCs/>
          <w:kern w:val="0"/>
          <w:szCs w:val="28"/>
        </w:rPr>
      </w:pPr>
    </w:p>
    <w:p>
      <w:pPr>
        <w:widowControl/>
        <w:spacing w:line="276" w:lineRule="auto"/>
        <w:rPr>
          <w:rFonts w:cs="宋体" w:asciiTheme="minorEastAsia" w:hAnsiTheme="minorEastAsia"/>
          <w:bCs/>
          <w:kern w:val="0"/>
          <w:szCs w:val="21"/>
        </w:rPr>
      </w:pPr>
    </w:p>
    <w:p>
      <w:pPr>
        <w:widowControl/>
        <w:spacing w:line="276" w:lineRule="auto"/>
        <w:rPr>
          <w:rFonts w:hint="eastAsia" w:ascii="宋体" w:hAnsi="宋体" w:eastAsia="宋体" w:cs="宋体"/>
          <w:b/>
          <w:bCs/>
          <w:kern w:val="0"/>
          <w:szCs w:val="21"/>
        </w:rPr>
      </w:pPr>
    </w:p>
    <w:p>
      <w:pPr>
        <w:widowControl/>
        <w:spacing w:line="276" w:lineRule="auto"/>
        <w:rPr>
          <w:rFonts w:hint="eastAsia" w:ascii="宋体" w:hAnsi="宋体" w:eastAsia="宋体" w:cs="宋体"/>
          <w:b/>
          <w:bCs/>
          <w:kern w:val="0"/>
          <w:szCs w:val="21"/>
        </w:rPr>
      </w:pPr>
    </w:p>
    <w:p>
      <w:pPr>
        <w:widowControl/>
        <w:spacing w:line="276" w:lineRule="auto"/>
        <w:rPr>
          <w:rFonts w:hint="eastAsia" w:ascii="宋体" w:hAnsi="宋体" w:eastAsia="宋体" w:cs="宋体"/>
          <w:b/>
          <w:bCs/>
          <w:kern w:val="0"/>
          <w:szCs w:val="21"/>
        </w:rPr>
      </w:pPr>
    </w:p>
    <w:p>
      <w:pPr>
        <w:widowControl/>
        <w:spacing w:line="276" w:lineRule="auto"/>
        <w:rPr>
          <w:rFonts w:hint="eastAsia" w:ascii="宋体" w:hAnsi="宋体" w:eastAsia="宋体" w:cs="宋体"/>
          <w:b/>
          <w:bCs/>
          <w:kern w:val="0"/>
          <w:szCs w:val="21"/>
        </w:rPr>
      </w:pPr>
    </w:p>
    <w:p>
      <w:pPr>
        <w:widowControl/>
        <w:spacing w:line="276" w:lineRule="auto"/>
        <w:rPr>
          <w:rFonts w:hint="eastAsia" w:ascii="宋体" w:hAnsi="宋体" w:eastAsia="宋体" w:cs="宋体"/>
          <w:b/>
          <w:bCs/>
          <w:kern w:val="0"/>
          <w:szCs w:val="21"/>
        </w:rPr>
      </w:pPr>
    </w:p>
    <w:p>
      <w:pPr>
        <w:widowControl/>
        <w:spacing w:line="276" w:lineRule="auto"/>
        <w:rPr>
          <w:rFonts w:hint="eastAsia" w:ascii="宋体" w:hAnsi="宋体" w:eastAsia="宋体" w:cs="宋体"/>
          <w:b/>
          <w:bCs/>
          <w:kern w:val="0"/>
          <w:szCs w:val="21"/>
        </w:rPr>
      </w:pPr>
    </w:p>
    <w:p>
      <w:pPr>
        <w:widowControl/>
        <w:spacing w:line="276" w:lineRule="auto"/>
        <w:rPr>
          <w:rFonts w:hint="eastAsia" w:ascii="宋体" w:hAnsi="宋体" w:eastAsia="宋体" w:cs="宋体"/>
          <w:b/>
          <w:bCs/>
          <w:kern w:val="0"/>
          <w:szCs w:val="21"/>
        </w:rPr>
      </w:pPr>
    </w:p>
    <w:p>
      <w:pPr>
        <w:widowControl/>
        <w:spacing w:line="276" w:lineRule="auto"/>
        <w:rPr>
          <w:rFonts w:hint="eastAsia" w:ascii="宋体" w:hAnsi="宋体" w:eastAsia="宋体" w:cs="宋体"/>
          <w:b/>
          <w:bCs/>
          <w:kern w:val="0"/>
          <w:szCs w:val="21"/>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both"/>
        <w:rPr>
          <w:rFonts w:hint="default" w:ascii="宋体" w:hAnsi="宋体" w:cs="宋体" w:eastAsiaTheme="minorEastAsia"/>
          <w:kern w:val="0"/>
          <w:szCs w:val="28"/>
          <w:lang w:val="en-US" w:eastAsia="zh-CN"/>
        </w:rPr>
      </w:pPr>
      <w:r>
        <w:rPr>
          <w:rFonts w:ascii="宋体" w:hAnsi="宋体" w:eastAsia="宋体" w:cs="宋体"/>
          <w:kern w:val="0"/>
          <w:szCs w:val="28"/>
        </w:rPr>
        <w:t>审核员 （签字）：</w:t>
      </w:r>
      <w:r>
        <w:rPr>
          <w:rFonts w:hint="eastAsia"/>
        </w:rPr>
        <w:drawing>
          <wp:inline distT="0" distB="0" distL="114300" distR="114300">
            <wp:extent cx="793115" cy="374015"/>
            <wp:effectExtent l="0" t="0" r="6985" b="6985"/>
            <wp:docPr id="1" name="图片 1"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698fea543c1f5e2dd097ae1750c2b"/>
                    <pic:cNvPicPr>
                      <a:picLocks noChangeAspect="1"/>
                    </pic:cNvPicPr>
                  </pic:nvPicPr>
                  <pic:blipFill>
                    <a:blip r:embed="rId6"/>
                    <a:stretch>
                      <a:fillRect/>
                    </a:stretch>
                  </pic:blipFill>
                  <pic:spPr>
                    <a:xfrm>
                      <a:off x="0" y="0"/>
                      <a:ext cx="793115" cy="374015"/>
                    </a:xfrm>
                    <a:prstGeom prst="rect">
                      <a:avLst/>
                    </a:prstGeom>
                    <a:noFill/>
                    <a:ln>
                      <a:noFill/>
                    </a:ln>
                  </pic:spPr>
                </pic:pic>
              </a:graphicData>
            </a:graphic>
          </wp:inline>
        </w:drawing>
      </w:r>
      <w:r>
        <w:rPr>
          <w:rFonts w:hint="eastAsia"/>
          <w:lang w:val="en-US" w:eastAsia="zh-CN"/>
        </w:rPr>
        <w:t>2020.12.16</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3639"/>
    <w:multiLevelType w:val="singleLevel"/>
    <w:tmpl w:val="24933639"/>
    <w:lvl w:ilvl="0" w:tentative="0">
      <w:start w:val="2"/>
      <w:numFmt w:val="decimal"/>
      <w:lvlText w:val="%1."/>
      <w:lvlJc w:val="left"/>
      <w:pPr>
        <w:tabs>
          <w:tab w:val="left" w:pos="312"/>
        </w:tabs>
      </w:pPr>
    </w:lvl>
  </w:abstractNum>
  <w:abstractNum w:abstractNumId="1">
    <w:nsid w:val="6E048769"/>
    <w:multiLevelType w:val="singleLevel"/>
    <w:tmpl w:val="6E048769"/>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B4245E"/>
    <w:rsid w:val="0AE415C5"/>
    <w:rsid w:val="0FFB2974"/>
    <w:rsid w:val="27DD3B94"/>
    <w:rsid w:val="524B27FF"/>
    <w:rsid w:val="6B330F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0</TotalTime>
  <ScaleCrop>false</ScaleCrop>
  <LinksUpToDate>false</LinksUpToDate>
  <CharactersWithSpaces>540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A樱洁</cp:lastModifiedBy>
  <cp:lastPrinted>2017-09-01T06:24:00Z</cp:lastPrinted>
  <dcterms:modified xsi:type="dcterms:W3CDTF">2020-12-18T02:59:45Z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