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019"/>
        <w:gridCol w:w="11223"/>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170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过程与活动、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抽样计划</w:t>
            </w:r>
          </w:p>
        </w:tc>
        <w:tc>
          <w:tcPr>
            <w:tcW w:w="101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涉及</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条款</w:t>
            </w:r>
          </w:p>
        </w:tc>
        <w:tc>
          <w:tcPr>
            <w:tcW w:w="1122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default" w:ascii="宋体" w:hAnsi="宋体" w:eastAsia="宋体" w:cs="宋体"/>
                <w:sz w:val="24"/>
                <w:szCs w:val="24"/>
                <w:lang w:val="en-US"/>
              </w:rPr>
            </w:pPr>
            <w:r>
              <w:rPr>
                <w:rFonts w:hint="eastAsia" w:ascii="宋体" w:hAnsi="宋体" w:eastAsia="宋体" w:cs="宋体"/>
                <w:sz w:val="24"/>
                <w:szCs w:val="24"/>
              </w:rPr>
              <w:t>受审核部门：</w:t>
            </w:r>
            <w:r>
              <w:rPr>
                <w:rFonts w:hint="eastAsia" w:ascii="宋体" w:hAnsi="宋体" w:cs="宋体"/>
                <w:b/>
                <w:bCs/>
                <w:sz w:val="24"/>
                <w:szCs w:val="24"/>
                <w:lang w:val="en-US" w:eastAsia="zh-CN"/>
              </w:rPr>
              <w:t>管理层</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主管领导/陪同人员</w:t>
            </w:r>
            <w:r>
              <w:rPr>
                <w:rFonts w:hint="eastAsia" w:ascii="宋体" w:hAnsi="宋体" w:eastAsia="宋体" w:cs="宋体"/>
                <w:sz w:val="24"/>
                <w:szCs w:val="24"/>
                <w:lang w:eastAsia="zh-CN"/>
              </w:rPr>
              <w:t>：</w:t>
            </w:r>
            <w:r>
              <w:rPr>
                <w:rFonts w:hint="eastAsia" w:ascii="宋体" w:hAnsi="宋体" w:cs="宋体"/>
                <w:sz w:val="24"/>
                <w:szCs w:val="24"/>
                <w:lang w:val="en-US" w:eastAsia="zh-CN"/>
              </w:rPr>
              <w:t>陈建阳</w:t>
            </w:r>
            <w:r>
              <w:rPr>
                <w:rFonts w:hint="eastAsia" w:ascii="宋体" w:hAnsi="宋体" w:eastAsia="宋体" w:cs="宋体"/>
                <w:sz w:val="24"/>
                <w:szCs w:val="24"/>
                <w:lang w:val="en-US" w:eastAsia="zh-CN"/>
              </w:rPr>
              <w:t>/</w:t>
            </w:r>
            <w:r>
              <w:rPr>
                <w:rFonts w:hint="eastAsia" w:asciiTheme="minorEastAsia" w:hAnsiTheme="minorEastAsia" w:eastAsiaTheme="minorEastAsia" w:cstheme="minorEastAsia"/>
                <w:szCs w:val="24"/>
                <w:lang w:eastAsia="zh-CN"/>
              </w:rPr>
              <w:t>林森泉</w:t>
            </w:r>
          </w:p>
        </w:tc>
        <w:tc>
          <w:tcPr>
            <w:tcW w:w="76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01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122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default" w:ascii="宋体" w:hAnsi="宋体" w:eastAsia="宋体" w:cs="宋体"/>
                <w:sz w:val="24"/>
                <w:szCs w:val="24"/>
                <w:lang w:val="en-US"/>
              </w:rPr>
            </w:pPr>
            <w:r>
              <w:rPr>
                <w:rFonts w:hint="eastAsia" w:ascii="宋体" w:hAnsi="宋体" w:eastAsia="宋体" w:cs="宋体"/>
                <w:sz w:val="24"/>
                <w:szCs w:val="24"/>
              </w:rPr>
              <w:t>审核员：</w:t>
            </w:r>
            <w:r>
              <w:rPr>
                <w:rFonts w:hint="eastAsia" w:ascii="宋体" w:hAnsi="宋体" w:cs="宋体"/>
                <w:sz w:val="24"/>
                <w:szCs w:val="24"/>
                <w:lang w:val="en-US" w:eastAsia="zh-CN"/>
              </w:rPr>
              <w:t>张磊</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审核时间：</w:t>
            </w:r>
            <w:r>
              <w:rPr>
                <w:rFonts w:hint="eastAsia" w:ascii="宋体" w:hAnsi="宋体" w:cs="宋体"/>
                <w:sz w:val="24"/>
                <w:szCs w:val="24"/>
                <w:lang w:val="en-US" w:eastAsia="zh-CN"/>
              </w:rPr>
              <w:t>2020</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12</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10</w:t>
            </w:r>
          </w:p>
        </w:tc>
        <w:tc>
          <w:tcPr>
            <w:tcW w:w="760"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0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01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1223" w:type="dxa"/>
            <w:vAlign w:val="center"/>
          </w:tcPr>
          <w:p>
            <w:pPr>
              <w:snapToGrid w:val="0"/>
              <w:spacing w:line="260" w:lineRule="exact"/>
              <w:rPr>
                <w:rFonts w:ascii="宋体"/>
                <w:sz w:val="21"/>
                <w:szCs w:val="21"/>
                <w:u w:val="single"/>
              </w:rPr>
            </w:pPr>
            <w:r>
              <w:rPr>
                <w:rFonts w:hint="eastAsia" w:ascii="宋体" w:hAnsi="宋体" w:cs="宋体"/>
                <w:sz w:val="21"/>
                <w:szCs w:val="21"/>
              </w:rPr>
              <w:t>涉及标准条款：</w:t>
            </w:r>
            <w:r>
              <w:rPr>
                <w:rFonts w:hint="eastAsia" w:ascii="宋体" w:hAnsi="宋体" w:cs="宋体"/>
                <w:sz w:val="21"/>
                <w:szCs w:val="21"/>
                <w:u w:val="none"/>
              </w:rPr>
              <w:t>Q:</w:t>
            </w:r>
            <w:r>
              <w:rPr>
                <w:rFonts w:ascii="宋体" w:hAnsi="宋体" w:cs="宋体"/>
                <w:sz w:val="21"/>
                <w:szCs w:val="21"/>
                <w:u w:val="none"/>
              </w:rPr>
              <w:t>4.1</w:t>
            </w:r>
            <w:r>
              <w:rPr>
                <w:rFonts w:hint="eastAsia" w:ascii="宋体" w:hAnsi="宋体" w:cs="宋体"/>
                <w:sz w:val="21"/>
                <w:szCs w:val="21"/>
                <w:u w:val="none"/>
              </w:rPr>
              <w:t>/</w:t>
            </w:r>
            <w:r>
              <w:rPr>
                <w:rFonts w:ascii="宋体" w:hAnsi="宋体" w:cs="宋体"/>
                <w:sz w:val="21"/>
                <w:szCs w:val="21"/>
                <w:u w:val="none"/>
              </w:rPr>
              <w:t>4.2</w:t>
            </w:r>
            <w:r>
              <w:rPr>
                <w:rFonts w:hint="eastAsia" w:ascii="宋体" w:hAnsi="宋体" w:cs="宋体"/>
                <w:sz w:val="21"/>
                <w:szCs w:val="21"/>
                <w:u w:val="none"/>
              </w:rPr>
              <w:t>/</w:t>
            </w:r>
            <w:r>
              <w:rPr>
                <w:rFonts w:ascii="宋体" w:hAnsi="宋体" w:cs="宋体"/>
                <w:sz w:val="21"/>
                <w:szCs w:val="21"/>
                <w:u w:val="none"/>
              </w:rPr>
              <w:t>4.3</w:t>
            </w:r>
            <w:r>
              <w:rPr>
                <w:rFonts w:hint="eastAsia" w:ascii="宋体" w:hAnsi="宋体" w:cs="宋体"/>
                <w:sz w:val="21"/>
                <w:szCs w:val="21"/>
                <w:u w:val="none"/>
              </w:rPr>
              <w:t>/</w:t>
            </w:r>
            <w:r>
              <w:rPr>
                <w:rFonts w:ascii="宋体" w:hAnsi="宋体" w:cs="宋体"/>
                <w:sz w:val="21"/>
                <w:szCs w:val="21"/>
                <w:u w:val="none"/>
              </w:rPr>
              <w:t>4.4</w:t>
            </w:r>
            <w:r>
              <w:rPr>
                <w:rFonts w:hint="eastAsia" w:ascii="宋体" w:hAnsi="宋体" w:cs="宋体"/>
                <w:sz w:val="21"/>
                <w:szCs w:val="21"/>
                <w:u w:val="none"/>
              </w:rPr>
              <w:t>/</w:t>
            </w:r>
            <w:r>
              <w:rPr>
                <w:rFonts w:ascii="宋体" w:hAnsi="宋体" w:cs="宋体"/>
                <w:sz w:val="21"/>
                <w:szCs w:val="21"/>
                <w:u w:val="none"/>
              </w:rPr>
              <w:t>5.1</w:t>
            </w:r>
            <w:r>
              <w:rPr>
                <w:rFonts w:hint="eastAsia" w:ascii="宋体" w:hAnsi="宋体" w:cs="宋体"/>
                <w:sz w:val="21"/>
                <w:szCs w:val="21"/>
                <w:u w:val="none"/>
              </w:rPr>
              <w:t>/</w:t>
            </w:r>
            <w:r>
              <w:rPr>
                <w:rFonts w:ascii="宋体" w:hAnsi="宋体" w:cs="宋体"/>
                <w:sz w:val="21"/>
                <w:szCs w:val="21"/>
                <w:u w:val="none"/>
              </w:rPr>
              <w:t>5.2</w:t>
            </w:r>
            <w:r>
              <w:rPr>
                <w:rFonts w:hint="eastAsia" w:ascii="宋体" w:hAnsi="宋体" w:cs="宋体"/>
                <w:sz w:val="21"/>
                <w:szCs w:val="21"/>
                <w:u w:val="none"/>
              </w:rPr>
              <w:t>/</w:t>
            </w:r>
            <w:r>
              <w:rPr>
                <w:rFonts w:ascii="宋体" w:hAnsi="宋体" w:cs="宋体"/>
                <w:sz w:val="21"/>
                <w:szCs w:val="21"/>
                <w:u w:val="none"/>
              </w:rPr>
              <w:t>5.3</w:t>
            </w:r>
            <w:r>
              <w:rPr>
                <w:rFonts w:hint="eastAsia" w:ascii="宋体" w:hAnsi="宋体" w:cs="宋体"/>
                <w:sz w:val="21"/>
                <w:szCs w:val="21"/>
                <w:u w:val="none"/>
              </w:rPr>
              <w:t>/</w:t>
            </w:r>
            <w:r>
              <w:rPr>
                <w:rFonts w:ascii="宋体" w:hAnsi="宋体" w:cs="宋体"/>
                <w:sz w:val="21"/>
                <w:szCs w:val="21"/>
                <w:u w:val="none"/>
              </w:rPr>
              <w:t>6.1</w:t>
            </w:r>
            <w:r>
              <w:rPr>
                <w:rFonts w:hint="eastAsia" w:ascii="宋体" w:hAnsi="宋体" w:cs="宋体"/>
                <w:sz w:val="21"/>
                <w:szCs w:val="21"/>
                <w:u w:val="none"/>
              </w:rPr>
              <w:t>/</w:t>
            </w:r>
            <w:r>
              <w:rPr>
                <w:rFonts w:ascii="宋体" w:hAnsi="宋体" w:cs="宋体"/>
                <w:sz w:val="21"/>
                <w:szCs w:val="21"/>
                <w:u w:val="none"/>
              </w:rPr>
              <w:t>6.2</w:t>
            </w:r>
            <w:r>
              <w:rPr>
                <w:rFonts w:hint="eastAsia" w:ascii="宋体" w:hAnsi="宋体" w:cs="宋体"/>
                <w:sz w:val="21"/>
                <w:szCs w:val="21"/>
                <w:u w:val="none"/>
              </w:rPr>
              <w:t>/</w:t>
            </w:r>
            <w:r>
              <w:rPr>
                <w:rFonts w:ascii="宋体" w:hAnsi="宋体" w:cs="宋体"/>
                <w:sz w:val="21"/>
                <w:szCs w:val="21"/>
                <w:u w:val="none"/>
              </w:rPr>
              <w:t>6.3</w:t>
            </w:r>
            <w:r>
              <w:rPr>
                <w:rFonts w:hint="eastAsia" w:ascii="宋体" w:hAnsi="宋体" w:cs="宋体"/>
                <w:sz w:val="21"/>
                <w:szCs w:val="21"/>
                <w:u w:val="none"/>
              </w:rPr>
              <w:t>/</w:t>
            </w:r>
            <w:r>
              <w:rPr>
                <w:rFonts w:ascii="宋体" w:hAnsi="宋体" w:cs="宋体"/>
                <w:sz w:val="21"/>
                <w:szCs w:val="21"/>
                <w:u w:val="none"/>
              </w:rPr>
              <w:t>7.1.1</w:t>
            </w:r>
            <w:r>
              <w:rPr>
                <w:rFonts w:hint="eastAsia" w:ascii="宋体" w:hAnsi="宋体" w:cs="宋体"/>
                <w:sz w:val="21"/>
                <w:szCs w:val="21"/>
                <w:u w:val="none"/>
              </w:rPr>
              <w:t>/9.1.1/</w:t>
            </w:r>
            <w:r>
              <w:rPr>
                <w:rFonts w:ascii="宋体" w:hAnsi="宋体" w:cs="宋体"/>
                <w:sz w:val="21"/>
                <w:szCs w:val="21"/>
                <w:u w:val="none"/>
              </w:rPr>
              <w:t>9.3</w:t>
            </w:r>
            <w:r>
              <w:rPr>
                <w:rFonts w:hint="eastAsia" w:ascii="宋体" w:hAnsi="宋体" w:cs="宋体"/>
                <w:sz w:val="21"/>
                <w:szCs w:val="21"/>
                <w:u w:val="none"/>
              </w:rPr>
              <w:t>/</w:t>
            </w:r>
            <w:r>
              <w:rPr>
                <w:rFonts w:ascii="宋体" w:hAnsi="宋体" w:cs="宋体"/>
                <w:sz w:val="21"/>
                <w:szCs w:val="21"/>
                <w:u w:val="none"/>
              </w:rPr>
              <w:t>10.1</w:t>
            </w:r>
            <w:r>
              <w:rPr>
                <w:rFonts w:hint="eastAsia" w:ascii="宋体" w:hAnsi="宋体" w:cs="宋体"/>
                <w:sz w:val="21"/>
                <w:szCs w:val="21"/>
                <w:u w:val="none"/>
              </w:rPr>
              <w:t>/</w:t>
            </w:r>
            <w:r>
              <w:rPr>
                <w:rFonts w:ascii="宋体" w:hAnsi="宋体" w:cs="宋体"/>
                <w:sz w:val="21"/>
                <w:szCs w:val="21"/>
                <w:u w:val="none"/>
              </w:rPr>
              <w:t xml:space="preserve">10.3 </w:t>
            </w:r>
          </w:p>
          <w:p>
            <w:pPr>
              <w:snapToGrid w:val="0"/>
              <w:spacing w:line="260" w:lineRule="exact"/>
              <w:jc w:val="left"/>
              <w:rPr>
                <w:rFonts w:ascii="宋体"/>
                <w:sz w:val="21"/>
                <w:szCs w:val="21"/>
              </w:rPr>
            </w:pPr>
            <w:r>
              <w:rPr>
                <w:rFonts w:ascii="宋体" w:hAnsi="宋体" w:cs="宋体"/>
                <w:sz w:val="21"/>
                <w:szCs w:val="21"/>
              </w:rPr>
              <w:t>E</w:t>
            </w:r>
            <w:r>
              <w:rPr>
                <w:rFonts w:hint="eastAsia" w:ascii="宋体" w:hAnsi="宋体" w:cs="宋体"/>
                <w:sz w:val="21"/>
                <w:szCs w:val="21"/>
                <w:lang w:val="en-US" w:eastAsia="zh-CN"/>
              </w:rPr>
              <w:t>O</w:t>
            </w:r>
            <w:r>
              <w:rPr>
                <w:rFonts w:hint="eastAsia" w:ascii="宋体" w:hAnsi="宋体" w:cs="宋体"/>
                <w:sz w:val="21"/>
                <w:szCs w:val="21"/>
              </w:rPr>
              <w:t>:</w:t>
            </w:r>
            <w:r>
              <w:rPr>
                <w:rFonts w:ascii="宋体" w:hAnsi="宋体" w:cs="宋体"/>
                <w:sz w:val="21"/>
                <w:szCs w:val="21"/>
              </w:rPr>
              <w:t>4.1</w:t>
            </w:r>
            <w:r>
              <w:rPr>
                <w:rFonts w:hint="eastAsia" w:ascii="宋体" w:hAnsi="宋体" w:cs="宋体"/>
                <w:sz w:val="21"/>
                <w:szCs w:val="21"/>
              </w:rPr>
              <w:t>/</w:t>
            </w:r>
            <w:r>
              <w:rPr>
                <w:rFonts w:ascii="宋体" w:hAnsi="宋体" w:cs="宋体"/>
                <w:sz w:val="21"/>
                <w:szCs w:val="21"/>
              </w:rPr>
              <w:t>4.2</w:t>
            </w:r>
            <w:r>
              <w:rPr>
                <w:rFonts w:hint="eastAsia" w:ascii="宋体" w:hAnsi="宋体" w:cs="宋体"/>
                <w:sz w:val="21"/>
                <w:szCs w:val="21"/>
              </w:rPr>
              <w:t>/</w:t>
            </w:r>
            <w:r>
              <w:rPr>
                <w:rFonts w:ascii="宋体" w:hAnsi="宋体" w:cs="宋体"/>
                <w:sz w:val="21"/>
                <w:szCs w:val="21"/>
              </w:rPr>
              <w:t>4.3</w:t>
            </w:r>
            <w:r>
              <w:rPr>
                <w:rFonts w:hint="eastAsia" w:ascii="宋体" w:hAnsi="宋体" w:cs="宋体"/>
                <w:sz w:val="21"/>
                <w:szCs w:val="21"/>
              </w:rPr>
              <w:t>/</w:t>
            </w:r>
            <w:r>
              <w:rPr>
                <w:rFonts w:ascii="宋体" w:hAnsi="宋体" w:cs="宋体"/>
                <w:sz w:val="21"/>
                <w:szCs w:val="21"/>
              </w:rPr>
              <w:t>4.4</w:t>
            </w:r>
            <w:r>
              <w:rPr>
                <w:rFonts w:hint="eastAsia" w:ascii="宋体" w:hAnsi="宋体" w:cs="宋体"/>
                <w:sz w:val="21"/>
                <w:szCs w:val="21"/>
              </w:rPr>
              <w:t>/</w:t>
            </w:r>
            <w:r>
              <w:rPr>
                <w:rFonts w:ascii="宋体" w:hAnsi="宋体" w:cs="宋体"/>
                <w:sz w:val="21"/>
                <w:szCs w:val="21"/>
              </w:rPr>
              <w:t>5.1</w:t>
            </w:r>
            <w:r>
              <w:rPr>
                <w:rFonts w:hint="eastAsia" w:ascii="宋体" w:hAnsi="宋体" w:cs="宋体"/>
                <w:sz w:val="21"/>
                <w:szCs w:val="21"/>
              </w:rPr>
              <w:t>/</w:t>
            </w:r>
            <w:r>
              <w:rPr>
                <w:rFonts w:ascii="宋体" w:hAnsi="宋体" w:cs="宋体"/>
                <w:sz w:val="21"/>
                <w:szCs w:val="21"/>
              </w:rPr>
              <w:t>5.2</w:t>
            </w:r>
            <w:r>
              <w:rPr>
                <w:rFonts w:hint="eastAsia" w:ascii="宋体" w:hAnsi="宋体" w:cs="宋体"/>
                <w:sz w:val="21"/>
                <w:szCs w:val="21"/>
              </w:rPr>
              <w:t>/</w:t>
            </w:r>
            <w:r>
              <w:rPr>
                <w:rFonts w:ascii="宋体" w:hAnsi="宋体" w:cs="宋体"/>
                <w:sz w:val="21"/>
                <w:szCs w:val="21"/>
              </w:rPr>
              <w:t>5.3</w:t>
            </w:r>
            <w:r>
              <w:rPr>
                <w:rFonts w:hint="eastAsia" w:ascii="宋体" w:hAnsi="宋体" w:cs="宋体"/>
                <w:sz w:val="21"/>
                <w:szCs w:val="21"/>
              </w:rPr>
              <w:t>/</w:t>
            </w:r>
            <w:r>
              <w:rPr>
                <w:rFonts w:ascii="宋体" w:hAnsi="宋体" w:cs="宋体"/>
                <w:sz w:val="21"/>
                <w:szCs w:val="21"/>
              </w:rPr>
              <w:t>6.1.1</w:t>
            </w:r>
            <w:r>
              <w:rPr>
                <w:rFonts w:hint="eastAsia" w:ascii="宋体" w:hAnsi="宋体" w:cs="宋体"/>
                <w:sz w:val="21"/>
                <w:szCs w:val="21"/>
              </w:rPr>
              <w:t>/6.1.4/</w:t>
            </w:r>
            <w:r>
              <w:rPr>
                <w:rFonts w:ascii="宋体" w:hAnsi="宋体" w:cs="宋体"/>
                <w:sz w:val="21"/>
                <w:szCs w:val="21"/>
              </w:rPr>
              <w:t>6.2</w:t>
            </w:r>
            <w:r>
              <w:rPr>
                <w:rFonts w:hint="eastAsia" w:ascii="宋体" w:hAnsi="宋体" w:cs="宋体"/>
                <w:sz w:val="21"/>
                <w:szCs w:val="21"/>
              </w:rPr>
              <w:t>/</w:t>
            </w:r>
            <w:r>
              <w:rPr>
                <w:rFonts w:ascii="宋体" w:hAnsi="宋体" w:cs="宋体"/>
                <w:sz w:val="21"/>
                <w:szCs w:val="21"/>
              </w:rPr>
              <w:t>7.1</w:t>
            </w:r>
            <w:r>
              <w:rPr>
                <w:rFonts w:hint="eastAsia" w:ascii="宋体" w:hAnsi="宋体" w:cs="宋体"/>
                <w:sz w:val="21"/>
                <w:szCs w:val="21"/>
              </w:rPr>
              <w:t>/</w:t>
            </w:r>
            <w:r>
              <w:rPr>
                <w:rFonts w:ascii="宋体" w:hAnsi="宋体" w:cs="宋体"/>
                <w:sz w:val="21"/>
                <w:szCs w:val="21"/>
              </w:rPr>
              <w:t>9.3</w:t>
            </w:r>
            <w:r>
              <w:rPr>
                <w:rFonts w:hint="eastAsia" w:ascii="宋体" w:hAnsi="宋体" w:cs="宋体"/>
                <w:sz w:val="21"/>
                <w:szCs w:val="21"/>
              </w:rPr>
              <w:t>/</w:t>
            </w:r>
            <w:r>
              <w:rPr>
                <w:rFonts w:ascii="宋体" w:hAnsi="宋体" w:cs="宋体"/>
                <w:sz w:val="21"/>
                <w:szCs w:val="21"/>
              </w:rPr>
              <w:t>10.1</w:t>
            </w:r>
            <w:r>
              <w:rPr>
                <w:rFonts w:hint="eastAsia" w:ascii="宋体" w:hAnsi="宋体" w:cs="宋体"/>
                <w:sz w:val="21"/>
                <w:szCs w:val="21"/>
              </w:rPr>
              <w:t>/</w:t>
            </w:r>
            <w:r>
              <w:rPr>
                <w:rFonts w:ascii="宋体" w:hAnsi="宋体" w:cs="宋体"/>
                <w:sz w:val="21"/>
                <w:szCs w:val="21"/>
              </w:rPr>
              <w:t>10.3</w:t>
            </w:r>
          </w:p>
          <w:p>
            <w:pPr>
              <w:snapToGrid w:val="0"/>
              <w:spacing w:line="260" w:lineRule="exact"/>
              <w:rPr>
                <w:rFonts w:hint="eastAsia" w:ascii="宋体" w:hAnsi="宋体" w:eastAsia="宋体" w:cs="宋体"/>
                <w:sz w:val="24"/>
                <w:szCs w:val="24"/>
              </w:rPr>
            </w:pPr>
            <w:r>
              <w:rPr>
                <w:rFonts w:hint="eastAsia" w:ascii="宋体" w:hAnsi="宋体" w:cs="宋体"/>
                <w:sz w:val="21"/>
                <w:szCs w:val="21"/>
              </w:rPr>
              <w:t>资质验证/范围再确认/</w:t>
            </w:r>
            <w:r>
              <w:rPr>
                <w:rFonts w:hint="eastAsia" w:ascii="宋体" w:hAnsi="宋体"/>
                <w:sz w:val="21"/>
                <w:szCs w:val="21"/>
              </w:rPr>
              <w:t>一阶段问题</w:t>
            </w:r>
            <w:r>
              <w:rPr>
                <w:rFonts w:ascii="宋体" w:hAnsi="宋体"/>
                <w:sz w:val="21"/>
                <w:szCs w:val="21"/>
              </w:rPr>
              <w:t>验证</w:t>
            </w:r>
            <w:r>
              <w:rPr>
                <w:rFonts w:hint="eastAsia" w:ascii="宋体" w:hAnsi="宋体"/>
                <w:sz w:val="21"/>
                <w:szCs w:val="21"/>
              </w:rPr>
              <w:t>/</w:t>
            </w:r>
            <w:r>
              <w:rPr>
                <w:rFonts w:ascii="宋体" w:hAnsi="宋体"/>
                <w:sz w:val="21"/>
                <w:szCs w:val="21"/>
              </w:rPr>
              <w:t>投诉或事故</w:t>
            </w:r>
            <w:r>
              <w:rPr>
                <w:rFonts w:hint="eastAsia" w:ascii="宋体" w:hAnsi="宋体"/>
                <w:sz w:val="21"/>
                <w:szCs w:val="21"/>
              </w:rPr>
              <w:t>/政府主管部门</w:t>
            </w:r>
            <w:r>
              <w:rPr>
                <w:rFonts w:ascii="宋体" w:hAnsi="宋体"/>
                <w:sz w:val="21"/>
                <w:szCs w:val="21"/>
              </w:rPr>
              <w:t>监督抽查情况</w:t>
            </w:r>
            <w:r>
              <w:rPr>
                <w:rFonts w:hint="eastAsia" w:ascii="宋体" w:hAnsi="宋体"/>
                <w:sz w:val="21"/>
                <w:szCs w:val="21"/>
                <w:lang w:val="en-US" w:eastAsia="zh-CN"/>
              </w:rPr>
              <w:t>/职业健康安全代表</w:t>
            </w:r>
          </w:p>
        </w:tc>
        <w:tc>
          <w:tcPr>
            <w:tcW w:w="760"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707" w:type="dxa"/>
            <w:vAlign w:val="top"/>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Cs w:val="24"/>
                <w:lang w:eastAsia="zh-CN"/>
              </w:rPr>
              <w:t>受审核方</w:t>
            </w:r>
            <w:r>
              <w:rPr>
                <w:rFonts w:hint="eastAsia" w:asciiTheme="minorEastAsia" w:hAnsiTheme="minorEastAsia" w:eastAsiaTheme="minorEastAsia" w:cstheme="minorEastAsia"/>
                <w:szCs w:val="24"/>
              </w:rPr>
              <w:t>基本信息</w:t>
            </w:r>
          </w:p>
        </w:tc>
        <w:tc>
          <w:tcPr>
            <w:tcW w:w="1019" w:type="dxa"/>
            <w:vAlign w:val="top"/>
          </w:tcPr>
          <w:p>
            <w:pPr>
              <w:jc w:val="both"/>
              <w:rPr>
                <w:rFonts w:hint="eastAsia" w:asciiTheme="minorEastAsia" w:hAnsiTheme="minorEastAsia" w:eastAsiaTheme="minorEastAsia" w:cstheme="minorEastAsia"/>
                <w:sz w:val="24"/>
                <w:szCs w:val="24"/>
              </w:rPr>
            </w:pPr>
          </w:p>
        </w:tc>
        <w:tc>
          <w:tcPr>
            <w:tcW w:w="11223" w:type="dxa"/>
            <w:vAlign w:val="center"/>
          </w:tcPr>
          <w:p>
            <w:pPr>
              <w:spacing w:line="360" w:lineRule="auto"/>
              <w:rPr>
                <w:rFonts w:hint="eastAsia"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rPr>
              <w:t>面谈人员：</w:t>
            </w:r>
            <w:r>
              <w:rPr>
                <w:rFonts w:hint="eastAsia" w:asciiTheme="minorEastAsia" w:hAnsiTheme="minorEastAsia" w:eastAsiaTheme="minorEastAsia" w:cstheme="minorEastAsia"/>
                <w:szCs w:val="24"/>
                <w:lang w:val="en-US" w:eastAsia="zh-CN"/>
              </w:rPr>
              <w:t>总经理</w:t>
            </w:r>
            <w:r>
              <w:rPr>
                <w:rFonts w:hint="eastAsia" w:asciiTheme="minorEastAsia" w:hAnsiTheme="minorEastAsia" w:eastAsiaTheme="minorEastAsia" w:cstheme="minorEastAsia"/>
                <w:szCs w:val="24"/>
                <w:lang w:eastAsia="zh-CN"/>
              </w:rPr>
              <w:t>陈建阳</w:t>
            </w:r>
            <w:r>
              <w:rPr>
                <w:rFonts w:hint="eastAsia" w:asciiTheme="minorEastAsia" w:hAnsiTheme="minorEastAsia" w:eastAsiaTheme="minorEastAsia" w:cstheme="minorEastAsia"/>
                <w:szCs w:val="24"/>
              </w:rPr>
              <w:t>、管代</w:t>
            </w:r>
            <w:r>
              <w:rPr>
                <w:rFonts w:hint="eastAsia" w:asciiTheme="minorEastAsia" w:hAnsiTheme="minorEastAsia" w:eastAsiaTheme="minorEastAsia" w:cstheme="minorEastAsia"/>
                <w:szCs w:val="24"/>
                <w:lang w:eastAsia="zh-CN"/>
              </w:rPr>
              <w:t>林森泉。</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lang w:eastAsia="zh-CN"/>
              </w:rPr>
              <w:t>泉州惠安鑫盛隆石业有限公司</w:t>
            </w:r>
            <w:r>
              <w:rPr>
                <w:rFonts w:hint="eastAsia" w:asciiTheme="minorEastAsia" w:hAnsiTheme="minorEastAsia" w:eastAsiaTheme="minorEastAsia" w:cstheme="minorEastAsia"/>
                <w:szCs w:val="24"/>
              </w:rPr>
              <w:t>，成立于201</w:t>
            </w:r>
            <w:r>
              <w:rPr>
                <w:rFonts w:hint="eastAsia" w:asciiTheme="minorEastAsia" w:hAnsiTheme="minorEastAsia" w:eastAsiaTheme="minorEastAsia" w:cstheme="minorEastAsia"/>
                <w:szCs w:val="24"/>
                <w:lang w:val="en-US" w:eastAsia="zh-CN"/>
              </w:rPr>
              <w:t>3</w:t>
            </w:r>
            <w:r>
              <w:rPr>
                <w:rFonts w:hint="eastAsia" w:asciiTheme="minorEastAsia" w:hAnsiTheme="minorEastAsia" w:eastAsiaTheme="minorEastAsia" w:cstheme="minorEastAsia"/>
                <w:szCs w:val="24"/>
              </w:rPr>
              <w:t>年</w:t>
            </w:r>
            <w:r>
              <w:rPr>
                <w:rFonts w:hint="eastAsia" w:asciiTheme="minorEastAsia" w:hAnsiTheme="minorEastAsia" w:eastAsiaTheme="minorEastAsia" w:cstheme="minorEastAsia"/>
                <w:szCs w:val="24"/>
                <w:lang w:val="en-US" w:eastAsia="zh-CN"/>
              </w:rPr>
              <w:t>11月</w:t>
            </w:r>
            <w:r>
              <w:rPr>
                <w:rFonts w:hint="eastAsia" w:asciiTheme="minorEastAsia" w:hAnsiTheme="minorEastAsia" w:eastAsiaTheme="minorEastAsia" w:cstheme="minorEastAsia"/>
                <w:szCs w:val="24"/>
              </w:rPr>
              <w:t>，法人代表</w:t>
            </w:r>
            <w:r>
              <w:rPr>
                <w:rFonts w:hint="eastAsia" w:asciiTheme="minorEastAsia" w:hAnsiTheme="minorEastAsia" w:eastAsiaTheme="minorEastAsia" w:cstheme="minorEastAsia"/>
                <w:szCs w:val="24"/>
                <w:lang w:eastAsia="zh-CN"/>
              </w:rPr>
              <w:t>陈建阳</w:t>
            </w:r>
            <w:r>
              <w:rPr>
                <w:rFonts w:hint="eastAsia" w:asciiTheme="minorEastAsia" w:hAnsiTheme="minorEastAsia" w:eastAsiaTheme="minorEastAsia" w:cstheme="minorEastAsia"/>
                <w:szCs w:val="24"/>
              </w:rPr>
              <w:t>，注册地址：</w:t>
            </w:r>
            <w:bookmarkStart w:id="0" w:name="注册地址"/>
            <w:r>
              <w:rPr>
                <w:color w:val="000000"/>
                <w:szCs w:val="21"/>
                <w:lang w:val="de-DE"/>
              </w:rPr>
              <w:t>泉州市惠安县涂寨镇曾厝工业区</w:t>
            </w:r>
            <w:bookmarkEnd w:id="0"/>
            <w:r>
              <w:rPr>
                <w:rFonts w:hint="eastAsia" w:asciiTheme="minorEastAsia" w:hAnsiTheme="minorEastAsia" w:eastAsiaTheme="minorEastAsia" w:cstheme="minorEastAsia"/>
                <w:szCs w:val="24"/>
              </w:rPr>
              <w:t>；经营地址：</w:t>
            </w:r>
            <w:r>
              <w:rPr>
                <w:rFonts w:hint="eastAsia" w:asciiTheme="minorEastAsia" w:hAnsiTheme="minorEastAsia" w:eastAsiaTheme="minorEastAsia" w:cstheme="minorEastAsia"/>
                <w:szCs w:val="24"/>
                <w:lang w:eastAsia="zh-CN"/>
              </w:rPr>
              <w:t>泉州市惠安县东桥镇屿头山村屿头959号</w:t>
            </w:r>
            <w:r>
              <w:rPr>
                <w:rFonts w:hint="eastAsia" w:asciiTheme="minorEastAsia" w:hAnsiTheme="minorEastAsia" w:eastAsiaTheme="minorEastAsia" w:cstheme="minorEastAsia"/>
                <w:szCs w:val="24"/>
              </w:rPr>
              <w:t>。</w:t>
            </w:r>
          </w:p>
          <w:p>
            <w:pPr>
              <w:spacing w:line="360" w:lineRule="auto"/>
              <w:ind w:firstLine="42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Cs w:val="24"/>
              </w:rPr>
              <w:t>目前主要从事</w:t>
            </w:r>
            <w:r>
              <w:rPr>
                <w:rFonts w:hint="eastAsia"/>
                <w:color w:val="000000"/>
                <w:szCs w:val="21"/>
              </w:rPr>
              <w:t>石材制品、石雕工艺品、墓碑的销售（法规强制要求范围除外）</w:t>
            </w:r>
            <w:r>
              <w:rPr>
                <w:rFonts w:hint="eastAsia" w:asciiTheme="minorEastAsia" w:hAnsiTheme="minorEastAsia" w:eastAsiaTheme="minorEastAsia" w:cstheme="minorEastAsia"/>
                <w:szCs w:val="24"/>
              </w:rPr>
              <w:t>。</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707" w:type="dxa"/>
            <w:vAlign w:val="top"/>
          </w:tcPr>
          <w:p>
            <w:pPr>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Cs w:val="24"/>
              </w:rPr>
              <w:t>理解组织及其环境</w:t>
            </w:r>
          </w:p>
        </w:tc>
        <w:tc>
          <w:tcPr>
            <w:tcW w:w="1019" w:type="dxa"/>
            <w:vAlign w:val="top"/>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Cs w:val="24"/>
              </w:rPr>
              <w:t>Q/E/</w:t>
            </w:r>
            <w:r>
              <w:rPr>
                <w:rFonts w:hint="eastAsia" w:asciiTheme="minorEastAsia" w:hAnsiTheme="minorEastAsia" w:eastAsiaTheme="minorEastAsia" w:cstheme="minorEastAsia"/>
                <w:szCs w:val="24"/>
                <w:lang w:eastAsia="zh-CN"/>
              </w:rPr>
              <w:t>O</w:t>
            </w:r>
            <w:r>
              <w:rPr>
                <w:rFonts w:hint="eastAsia" w:asciiTheme="minorEastAsia" w:hAnsiTheme="minorEastAsia" w:eastAsiaTheme="minorEastAsia" w:cstheme="minorEastAsia"/>
                <w:szCs w:val="24"/>
              </w:rPr>
              <w:t>：4.1</w:t>
            </w:r>
          </w:p>
        </w:tc>
        <w:tc>
          <w:tcPr>
            <w:tcW w:w="11223" w:type="dxa"/>
            <w:vAlign w:val="center"/>
          </w:tcPr>
          <w:p>
            <w:pPr>
              <w:spacing w:line="360" w:lineRule="auto"/>
              <w:ind w:firstLine="420" w:firstLineChars="200"/>
              <w:rPr>
                <w:rFonts w:hint="eastAsia"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lang w:val="en-US" w:eastAsia="zh-CN"/>
              </w:rPr>
              <w:t>该公司</w:t>
            </w:r>
            <w:r>
              <w:rPr>
                <w:rFonts w:hint="eastAsia" w:asciiTheme="minorEastAsia" w:hAnsiTheme="minorEastAsia" w:eastAsiaTheme="minorEastAsia" w:cstheme="minorEastAsia"/>
                <w:color w:val="000000"/>
                <w:szCs w:val="24"/>
              </w:rPr>
              <w:t>提供</w:t>
            </w:r>
            <w:r>
              <w:rPr>
                <w:rFonts w:hint="eastAsia" w:asciiTheme="minorEastAsia" w:hAnsiTheme="minorEastAsia" w:eastAsiaTheme="minorEastAsia" w:cstheme="minorEastAsia"/>
                <w:color w:val="000000"/>
                <w:szCs w:val="24"/>
                <w:lang w:val="en-US" w:eastAsia="zh-CN"/>
              </w:rPr>
              <w:t>了</w:t>
            </w:r>
            <w:r>
              <w:rPr>
                <w:rFonts w:hint="eastAsia" w:asciiTheme="minorEastAsia" w:hAnsiTheme="minorEastAsia" w:eastAsiaTheme="minorEastAsia" w:cstheme="minorEastAsia"/>
                <w:color w:val="000000"/>
                <w:szCs w:val="24"/>
              </w:rPr>
              <w:t xml:space="preserve">《管理手册》，对公司地理位置、国内市场地位、法律法规要求、公司内部文化观价值观、内外部环境变化等均作出描述。 </w:t>
            </w:r>
          </w:p>
          <w:p>
            <w:pPr>
              <w:spacing w:line="360" w:lineRule="auto"/>
              <w:ind w:firstLine="420" w:firstLineChars="200"/>
              <w:rPr>
                <w:rFonts w:hint="eastAsia"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与总经理</w:t>
            </w:r>
            <w:r>
              <w:rPr>
                <w:rFonts w:hint="eastAsia" w:asciiTheme="minorEastAsia" w:hAnsiTheme="minorEastAsia" w:eastAsiaTheme="minorEastAsia" w:cstheme="minorEastAsia"/>
                <w:color w:val="000000"/>
                <w:szCs w:val="24"/>
                <w:lang w:eastAsia="zh-CN"/>
              </w:rPr>
              <w:t>陈建阳</w:t>
            </w:r>
            <w:r>
              <w:rPr>
                <w:rFonts w:hint="eastAsia" w:asciiTheme="minorEastAsia" w:hAnsiTheme="minorEastAsia" w:eastAsiaTheme="minorEastAsia" w:cstheme="minorEastAsia"/>
                <w:color w:val="000000"/>
                <w:szCs w:val="24"/>
              </w:rPr>
              <w:t>沟通，简单介绍了公司发展历程、公司文化的形成与发展目标、价值观的沟通，并对如何创造公司良好的内部环境提出要求，对公司目前所处的外部环境也做了简单分析。</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Cs w:val="24"/>
              </w:rPr>
              <w:t>提供有《组织的内外重要环境因素分析表》，识别了相关内容，确定了监视、评审方法、责任部门、监视频率等。如内部因素：从人力、财务、过程环境、市场营销能力等，外部因素从经济因素、政治因素、竞争力、市场需求等方面。监视评审方法：网上收集、沟通会、政府部门获取。</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707" w:type="dxa"/>
            <w:vAlign w:val="top"/>
          </w:tcPr>
          <w:p>
            <w:pPr>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Cs w:val="24"/>
              </w:rPr>
              <w:t>理解相关方的需求和期望</w:t>
            </w:r>
          </w:p>
        </w:tc>
        <w:tc>
          <w:tcPr>
            <w:tcW w:w="1019" w:type="dxa"/>
            <w:vAlign w:val="top"/>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Cs w:val="24"/>
              </w:rPr>
              <w:t>Q/E/</w:t>
            </w:r>
            <w:r>
              <w:rPr>
                <w:rFonts w:hint="eastAsia" w:asciiTheme="minorEastAsia" w:hAnsiTheme="minorEastAsia" w:eastAsiaTheme="minorEastAsia" w:cstheme="minorEastAsia"/>
                <w:szCs w:val="24"/>
                <w:lang w:eastAsia="zh-CN"/>
              </w:rPr>
              <w:t>O</w:t>
            </w:r>
            <w:r>
              <w:rPr>
                <w:rFonts w:hint="eastAsia" w:asciiTheme="minorEastAsia" w:hAnsiTheme="minorEastAsia" w:eastAsiaTheme="minorEastAsia" w:cstheme="minorEastAsia"/>
                <w:szCs w:val="24"/>
              </w:rPr>
              <w:t>：4.2</w:t>
            </w:r>
          </w:p>
        </w:tc>
        <w:tc>
          <w:tcPr>
            <w:tcW w:w="11223" w:type="dxa"/>
            <w:vAlign w:val="center"/>
          </w:tcPr>
          <w:p>
            <w:pPr>
              <w:spacing w:line="360" w:lineRule="auto"/>
              <w:ind w:firstLine="420" w:firstLineChars="200"/>
              <w:rPr>
                <w:rFonts w:hint="eastAsia"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提供了《相关方需求和期望调查表》，相关方包括顾客、股东、员工、供应商、竞争对手、社会团体等。</w:t>
            </w:r>
            <w:r>
              <w:rPr>
                <w:rFonts w:hint="eastAsia" w:asciiTheme="minorEastAsia" w:hAnsiTheme="minorEastAsia" w:eastAsiaTheme="minorEastAsia" w:cstheme="minorEastAsia"/>
                <w:color w:val="000000"/>
                <w:szCs w:val="24"/>
                <w:lang w:val="en-US" w:eastAsia="zh-CN"/>
              </w:rPr>
              <w:t>顾客</w:t>
            </w:r>
            <w:r>
              <w:rPr>
                <w:rFonts w:hint="eastAsia" w:asciiTheme="minorEastAsia" w:hAnsiTheme="minorEastAsia" w:eastAsiaTheme="minorEastAsia" w:cstheme="minorEastAsia"/>
                <w:color w:val="000000"/>
                <w:szCs w:val="24"/>
              </w:rPr>
              <w:t>相关方期望和要求为价格、安全性、合同协议、行业规范标准等。识别的方法为：主动调查、水平对比等。检测指标或项目：顾客满意度、客户投诉率、供方评价表等。</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Cs w:val="24"/>
              </w:rPr>
              <w:t>基本识别了与组织管理体系有关的相关方和要求</w:t>
            </w:r>
            <w:r>
              <w:rPr>
                <w:rFonts w:hint="eastAsia" w:asciiTheme="minorEastAsia" w:hAnsiTheme="minorEastAsia" w:eastAsiaTheme="minorEastAsia" w:cstheme="minorEastAsia"/>
                <w:szCs w:val="24"/>
                <w:lang w:val="zh-CN"/>
              </w:rPr>
              <w:t>。</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707" w:type="dxa"/>
            <w:vAlign w:val="top"/>
          </w:tcPr>
          <w:p>
            <w:pPr>
              <w:jc w:val="both"/>
              <w:rPr>
                <w:rFonts w:hint="eastAsia" w:asciiTheme="minorEastAsia" w:hAnsiTheme="minorEastAsia" w:eastAsiaTheme="minorEastAsia" w:cstheme="minorEastAsia"/>
                <w:color w:val="0000FF"/>
                <w:kern w:val="0"/>
                <w:sz w:val="21"/>
                <w:szCs w:val="21"/>
              </w:rPr>
            </w:pPr>
            <w:r>
              <w:rPr>
                <w:rFonts w:hint="eastAsia" w:asciiTheme="minorEastAsia" w:hAnsiTheme="minorEastAsia" w:eastAsiaTheme="minorEastAsia" w:cstheme="minorEastAsia"/>
                <w:szCs w:val="24"/>
              </w:rPr>
              <w:t>质量/环境/职业健康安全/职业健康安全管理体系的范围</w:t>
            </w:r>
          </w:p>
        </w:tc>
        <w:tc>
          <w:tcPr>
            <w:tcW w:w="1019" w:type="dxa"/>
            <w:vAlign w:val="top"/>
          </w:tcPr>
          <w:p>
            <w:pPr>
              <w:spacing w:line="360" w:lineRule="auto"/>
              <w:jc w:val="both"/>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szCs w:val="24"/>
              </w:rPr>
              <w:t>Q/E/</w:t>
            </w:r>
            <w:r>
              <w:rPr>
                <w:rFonts w:hint="eastAsia" w:asciiTheme="minorEastAsia" w:hAnsiTheme="minorEastAsia" w:eastAsiaTheme="minorEastAsia" w:cstheme="minorEastAsia"/>
                <w:szCs w:val="24"/>
                <w:lang w:eastAsia="zh-CN"/>
              </w:rPr>
              <w:t>O</w:t>
            </w:r>
            <w:r>
              <w:rPr>
                <w:rFonts w:hint="eastAsia" w:asciiTheme="minorEastAsia" w:hAnsiTheme="minorEastAsia" w:eastAsiaTheme="minorEastAsia" w:cstheme="minorEastAsia"/>
                <w:szCs w:val="24"/>
              </w:rPr>
              <w:t xml:space="preserve">：4.3 </w:t>
            </w:r>
          </w:p>
        </w:tc>
        <w:tc>
          <w:tcPr>
            <w:tcW w:w="11223" w:type="dxa"/>
            <w:vAlign w:val="center"/>
          </w:tcPr>
          <w:p>
            <w:pPr>
              <w:spacing w:line="360" w:lineRule="auto"/>
              <w:jc w:val="left"/>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经</w:t>
            </w:r>
            <w:r>
              <w:rPr>
                <w:rFonts w:hint="eastAsia" w:asciiTheme="minorEastAsia" w:hAnsiTheme="minorEastAsia" w:eastAsiaTheme="minorEastAsia" w:cstheme="minorEastAsia"/>
                <w:szCs w:val="24"/>
                <w:lang w:val="en-US" w:eastAsia="zh-CN"/>
              </w:rPr>
              <w:t>现场</w:t>
            </w:r>
            <w:r>
              <w:rPr>
                <w:rFonts w:hint="eastAsia" w:asciiTheme="minorEastAsia" w:hAnsiTheme="minorEastAsia" w:eastAsiaTheme="minorEastAsia" w:cstheme="minorEastAsia"/>
                <w:szCs w:val="24"/>
              </w:rPr>
              <w:t>确认</w:t>
            </w:r>
            <w:r>
              <w:rPr>
                <w:rFonts w:hint="eastAsia" w:asciiTheme="minorEastAsia" w:hAnsiTheme="minorEastAsia" w:eastAsiaTheme="minorEastAsia" w:cstheme="minorEastAsia"/>
                <w:szCs w:val="24"/>
                <w:lang w:eastAsia="zh-CN"/>
              </w:rPr>
              <w:t>受审核方</w:t>
            </w:r>
            <w:r>
              <w:rPr>
                <w:rFonts w:hint="eastAsia" w:asciiTheme="minorEastAsia" w:hAnsiTheme="minorEastAsia" w:eastAsiaTheme="minorEastAsia" w:cstheme="minorEastAsia"/>
                <w:szCs w:val="24"/>
              </w:rPr>
              <w:t>的管理体系范围</w:t>
            </w:r>
            <w:r>
              <w:rPr>
                <w:rFonts w:hint="eastAsia" w:asciiTheme="minorEastAsia" w:hAnsiTheme="minorEastAsia" w:eastAsiaTheme="minorEastAsia" w:cstheme="minorEastAsia"/>
                <w:szCs w:val="24"/>
                <w:lang w:val="en-US" w:eastAsia="zh-CN"/>
              </w:rPr>
              <w:t>无变化为</w:t>
            </w:r>
            <w:r>
              <w:rPr>
                <w:rFonts w:hint="eastAsia" w:asciiTheme="minorEastAsia" w:hAnsiTheme="minorEastAsia" w:eastAsiaTheme="minorEastAsia" w:cstheme="minorEastAsia"/>
                <w:szCs w:val="24"/>
              </w:rPr>
              <w:t>：</w:t>
            </w:r>
          </w:p>
          <w:p>
            <w:pPr>
              <w:keepNext w:val="0"/>
              <w:keepLines w:val="0"/>
              <w:pageBreakBefore w:val="0"/>
              <w:widowControl w:val="0"/>
              <w:kinsoku/>
              <w:wordWrap/>
              <w:overflowPunct/>
              <w:topLinePunct w:val="0"/>
              <w:autoSpaceDE/>
              <w:autoSpaceDN/>
              <w:bidi w:val="0"/>
              <w:adjustRightInd/>
              <w:spacing w:line="280" w:lineRule="exact"/>
              <w:rPr>
                <w:rFonts w:ascii="宋体" w:hAnsi="宋体"/>
                <w:sz w:val="21"/>
                <w:szCs w:val="21"/>
              </w:rPr>
            </w:pPr>
            <w:r>
              <w:rPr>
                <w:rFonts w:ascii="宋体" w:hAnsi="宋体"/>
                <w:b/>
                <w:sz w:val="21"/>
                <w:szCs w:val="21"/>
              </w:rPr>
              <w:t>QMS</w:t>
            </w:r>
            <w:r>
              <w:rPr>
                <w:rFonts w:hint="eastAsia" w:ascii="宋体" w:hAnsi="宋体"/>
                <w:b/>
                <w:sz w:val="21"/>
                <w:szCs w:val="21"/>
              </w:rPr>
              <w:t>:</w:t>
            </w:r>
            <w:r>
              <w:rPr>
                <w:rFonts w:hint="eastAsia" w:ascii="宋体" w:hAnsi="宋体" w:cs="宋体"/>
                <w:kern w:val="0"/>
                <w:sz w:val="21"/>
                <w:szCs w:val="21"/>
                <w:lang w:bidi="ar"/>
              </w:rPr>
              <w:t xml:space="preserve"> </w:t>
            </w:r>
            <w:r>
              <w:rPr>
                <w:rFonts w:hint="eastAsia"/>
                <w:color w:val="000000"/>
                <w:sz w:val="21"/>
                <w:szCs w:val="21"/>
              </w:rPr>
              <w:t>石材制品、石雕工艺品、墓碑的销售（法规强制要求范围除外）</w:t>
            </w:r>
            <w:r>
              <w:rPr>
                <w:rFonts w:hint="eastAsia" w:ascii="宋体" w:hAnsi="宋体"/>
                <w:sz w:val="21"/>
                <w:szCs w:val="21"/>
              </w:rPr>
              <w:t xml:space="preserve">  </w:t>
            </w:r>
          </w:p>
          <w:p>
            <w:pPr>
              <w:keepNext w:val="0"/>
              <w:keepLines w:val="0"/>
              <w:pageBreakBefore w:val="0"/>
              <w:widowControl w:val="0"/>
              <w:kinsoku/>
              <w:wordWrap/>
              <w:overflowPunct/>
              <w:topLinePunct w:val="0"/>
              <w:autoSpaceDE/>
              <w:autoSpaceDN/>
              <w:bidi w:val="0"/>
              <w:adjustRightInd/>
              <w:spacing w:line="280" w:lineRule="exact"/>
              <w:rPr>
                <w:rFonts w:hint="eastAsia" w:ascii="宋体" w:hAnsi="宋体"/>
                <w:sz w:val="21"/>
                <w:szCs w:val="21"/>
              </w:rPr>
            </w:pPr>
            <w:r>
              <w:rPr>
                <w:rFonts w:ascii="宋体" w:hAnsi="宋体"/>
                <w:b/>
                <w:sz w:val="21"/>
                <w:szCs w:val="21"/>
              </w:rPr>
              <w:t>EMS:</w:t>
            </w:r>
            <w:r>
              <w:rPr>
                <w:rFonts w:hint="eastAsia" w:ascii="宋体" w:hAnsi="宋体"/>
                <w:b/>
                <w:sz w:val="21"/>
                <w:szCs w:val="21"/>
              </w:rPr>
              <w:t xml:space="preserve"> </w:t>
            </w:r>
            <w:r>
              <w:rPr>
                <w:rFonts w:hint="eastAsia"/>
                <w:color w:val="000000"/>
                <w:sz w:val="21"/>
                <w:szCs w:val="21"/>
              </w:rPr>
              <w:t>石材制品、石雕工艺品、墓碑的销售（法规强制要求范围除外）</w:t>
            </w:r>
            <w:r>
              <w:rPr>
                <w:rFonts w:hint="eastAsia" w:ascii="宋体" w:hAnsi="宋体"/>
                <w:sz w:val="21"/>
                <w:szCs w:val="21"/>
              </w:rPr>
              <w:t>及相关环境管理活动</w:t>
            </w:r>
          </w:p>
          <w:p>
            <w:pPr>
              <w:keepNext w:val="0"/>
              <w:keepLines w:val="0"/>
              <w:pageBreakBefore w:val="0"/>
              <w:widowControl w:val="0"/>
              <w:kinsoku/>
              <w:wordWrap/>
              <w:overflowPunct/>
              <w:topLinePunct w:val="0"/>
              <w:autoSpaceDE/>
              <w:autoSpaceDN/>
              <w:bidi w:val="0"/>
              <w:adjustRightInd/>
              <w:spacing w:line="280" w:lineRule="exact"/>
              <w:rPr>
                <w:rFonts w:hint="eastAsia" w:ascii="宋体" w:hAnsi="宋体" w:cs="Arial"/>
                <w:bCs/>
                <w:sz w:val="21"/>
                <w:szCs w:val="21"/>
              </w:rPr>
            </w:pPr>
            <w:r>
              <w:rPr>
                <w:rFonts w:ascii="宋体" w:hAnsi="宋体"/>
                <w:b/>
                <w:sz w:val="21"/>
                <w:szCs w:val="21"/>
              </w:rPr>
              <w:t>OHSMS:</w:t>
            </w:r>
            <w:r>
              <w:rPr>
                <w:rFonts w:hint="eastAsia"/>
                <w:color w:val="000000"/>
                <w:sz w:val="21"/>
                <w:szCs w:val="21"/>
              </w:rPr>
              <w:t>石材制品、石雕工艺品、墓碑的销售（法规强制要求范围除外）</w:t>
            </w:r>
            <w:r>
              <w:rPr>
                <w:rFonts w:hint="eastAsia" w:ascii="宋体" w:hAnsi="宋体" w:cs="Arial"/>
                <w:bCs/>
                <w:sz w:val="21"/>
                <w:szCs w:val="21"/>
              </w:rPr>
              <w:t>及</w:t>
            </w:r>
            <w:r>
              <w:rPr>
                <w:rFonts w:hint="eastAsia" w:ascii="宋体" w:hAnsi="宋体"/>
                <w:sz w:val="21"/>
                <w:szCs w:val="21"/>
              </w:rPr>
              <w:t>相关</w:t>
            </w:r>
            <w:r>
              <w:rPr>
                <w:rFonts w:hint="eastAsia" w:ascii="宋体" w:hAnsi="宋体" w:cs="Arial"/>
                <w:bCs/>
                <w:sz w:val="21"/>
                <w:szCs w:val="21"/>
                <w:lang w:eastAsia="zh-CN"/>
              </w:rPr>
              <w:t>职业健康安全</w:t>
            </w:r>
            <w:r>
              <w:rPr>
                <w:rFonts w:hint="eastAsia" w:ascii="宋体" w:hAnsi="宋体" w:cs="Arial"/>
                <w:bCs/>
                <w:sz w:val="21"/>
                <w:szCs w:val="21"/>
              </w:rPr>
              <w:t>管理活动</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公司按照常规销售模式无需再进行设计开发，因此Q8.3条款不适用。</w:t>
            </w:r>
          </w:p>
          <w:p>
            <w:pPr>
              <w:spacing w:line="360" w:lineRule="auto"/>
              <w:rPr>
                <w:rFonts w:hint="default"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企业经营地址变更为：泉州市惠安县东桥镇屿头山村屿头959号</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707" w:type="dxa"/>
            <w:vAlign w:val="top"/>
          </w:tcPr>
          <w:p>
            <w:pPr>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Cs w:val="24"/>
              </w:rPr>
              <w:t>质量/环境/职业健康安全管理体系及其过程</w:t>
            </w:r>
          </w:p>
        </w:tc>
        <w:tc>
          <w:tcPr>
            <w:tcW w:w="1019" w:type="dxa"/>
            <w:vAlign w:val="top"/>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Cs w:val="24"/>
              </w:rPr>
              <w:t>Q/E/</w:t>
            </w:r>
            <w:r>
              <w:rPr>
                <w:rFonts w:hint="eastAsia" w:asciiTheme="minorEastAsia" w:hAnsiTheme="minorEastAsia" w:eastAsiaTheme="minorEastAsia" w:cstheme="minorEastAsia"/>
                <w:szCs w:val="24"/>
                <w:lang w:eastAsia="zh-CN"/>
              </w:rPr>
              <w:t>O</w:t>
            </w:r>
            <w:r>
              <w:rPr>
                <w:rFonts w:hint="eastAsia" w:asciiTheme="minorEastAsia" w:hAnsiTheme="minorEastAsia" w:eastAsiaTheme="minorEastAsia" w:cstheme="minorEastAsia"/>
                <w:szCs w:val="24"/>
              </w:rPr>
              <w:t xml:space="preserve">：4.4  </w:t>
            </w:r>
          </w:p>
        </w:tc>
        <w:tc>
          <w:tcPr>
            <w:tcW w:w="11223" w:type="dxa"/>
            <w:vAlign w:val="center"/>
          </w:tcPr>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公司按照 GB/T19001-2016 和 GB/T24001-2016 、</w:t>
            </w:r>
            <w:r>
              <w:rPr>
                <w:rFonts w:hint="eastAsia" w:asciiTheme="minorEastAsia" w:hAnsiTheme="minorEastAsia" w:eastAsiaTheme="minorEastAsia" w:cstheme="minorEastAsia"/>
                <w:szCs w:val="24"/>
                <w:lang w:eastAsia="zh-CN"/>
              </w:rPr>
              <w:t>GB/T 45001-2020</w:t>
            </w:r>
            <w:r>
              <w:rPr>
                <w:rFonts w:hint="eastAsia" w:asciiTheme="minorEastAsia" w:hAnsiTheme="minorEastAsia" w:eastAsiaTheme="minorEastAsia" w:cstheme="minorEastAsia"/>
                <w:szCs w:val="24"/>
              </w:rPr>
              <w:t xml:space="preserve"> 标准的要求识别了质量/环境/职业健康安全管理所需的过程及相互作用，识别了质量和环境、职业健康安全管理体系涉及的各个过程：</w:t>
            </w:r>
          </w:p>
          <w:p>
            <w:pPr>
              <w:spacing w:line="36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　　a) 确定这些过程所需的输入和期望的输出；</w:t>
            </w:r>
          </w:p>
          <w:p>
            <w:pPr>
              <w:spacing w:line="36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　　b) 确定这些过程的顺序和相互作用；</w:t>
            </w:r>
          </w:p>
          <w:p>
            <w:pPr>
              <w:spacing w:line="36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　　c) 建立了程序文件、管理制度、作业指导书、检验规程等明确了各个过程所需的准则和方法，并明确了目标。</w:t>
            </w:r>
          </w:p>
          <w:p>
            <w:pPr>
              <w:spacing w:line="36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　　d) 规定了每个过程所需的资源；</w:t>
            </w:r>
          </w:p>
          <w:p>
            <w:pPr>
              <w:spacing w:line="36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　　e) 规定与这些过程相关的责任和权限；</w:t>
            </w:r>
          </w:p>
          <w:p>
            <w:pPr>
              <w:spacing w:line="36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　  f) 针对这些过程识别和确定了质量管理活动的风险、机会以及所需的措施；</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g) 对这些过程进行了评价，暂无所需的变更；</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h) 公司通过绩效评价、内部审核、管理评审等以期对质量/环境/职业健康安全管理管理体系得到改进。</w:t>
            </w:r>
          </w:p>
          <w:p>
            <w:pPr>
              <w:spacing w:line="360" w:lineRule="auto"/>
              <w:ind w:firstLine="420" w:firstLineChars="2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szCs w:val="24"/>
              </w:rPr>
              <w:t>公司按照标准建立了文件化的质量/环境/职业健康安全管理体系，编制了质量／环境/职业健康安全</w:t>
            </w:r>
            <w:r>
              <w:rPr>
                <w:rFonts w:hint="eastAsia" w:asciiTheme="minorEastAsia" w:hAnsiTheme="minorEastAsia" w:eastAsiaTheme="minorEastAsia" w:cstheme="minorEastAsia"/>
                <w:szCs w:val="24"/>
                <w:lang w:val="en-US" w:eastAsia="zh-CN"/>
              </w:rPr>
              <w:t>管理</w:t>
            </w:r>
            <w:r>
              <w:rPr>
                <w:rFonts w:hint="eastAsia" w:asciiTheme="minorEastAsia" w:hAnsiTheme="minorEastAsia" w:eastAsiaTheme="minorEastAsia" w:cstheme="minorEastAsia"/>
                <w:szCs w:val="24"/>
              </w:rPr>
              <w:t>手册，流程性文件、管理制度、作业指导书、检验规程等；并对各个过程的监控进行了记录，形成了相关文件化信息，为过程运行提供了支持，以证实过程按照策划执行。</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707" w:type="dxa"/>
            <w:vAlign w:val="top"/>
          </w:tcPr>
          <w:p>
            <w:pPr>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领导作用和承诺</w:t>
            </w:r>
          </w:p>
        </w:tc>
        <w:tc>
          <w:tcPr>
            <w:tcW w:w="1019" w:type="dxa"/>
            <w:vAlign w:val="top"/>
          </w:tcPr>
          <w:p>
            <w:pPr>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Q/E/</w:t>
            </w:r>
            <w:r>
              <w:rPr>
                <w:rFonts w:hint="eastAsia" w:asciiTheme="minorEastAsia" w:hAnsiTheme="minorEastAsia" w:eastAsiaTheme="minorEastAsia" w:cstheme="minorEastAsia"/>
                <w:szCs w:val="24"/>
                <w:lang w:eastAsia="zh-CN"/>
              </w:rPr>
              <w:t>O</w:t>
            </w:r>
            <w:r>
              <w:rPr>
                <w:rFonts w:hint="eastAsia" w:asciiTheme="minorEastAsia" w:hAnsiTheme="minorEastAsia" w:eastAsiaTheme="minorEastAsia" w:cstheme="minorEastAsia"/>
                <w:szCs w:val="24"/>
              </w:rPr>
              <w:t xml:space="preserve">：5.1  </w:t>
            </w:r>
          </w:p>
        </w:tc>
        <w:tc>
          <w:tcPr>
            <w:tcW w:w="11223" w:type="dxa"/>
            <w:vAlign w:val="center"/>
          </w:tcPr>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据负责人</w:t>
            </w:r>
            <w:r>
              <w:rPr>
                <w:rFonts w:hint="eastAsia" w:asciiTheme="minorEastAsia" w:hAnsiTheme="minorEastAsia" w:eastAsiaTheme="minorEastAsia" w:cstheme="minorEastAsia"/>
                <w:szCs w:val="24"/>
                <w:lang w:eastAsia="zh-CN"/>
              </w:rPr>
              <w:t>陈建阳</w:t>
            </w:r>
            <w:r>
              <w:rPr>
                <w:rFonts w:hint="eastAsia" w:asciiTheme="minorEastAsia" w:hAnsiTheme="minorEastAsia" w:eastAsiaTheme="minorEastAsia" w:cstheme="minorEastAsia"/>
                <w:szCs w:val="24"/>
              </w:rPr>
              <w:t>介绍，公司管理体系运行已满</w:t>
            </w:r>
            <w:r>
              <w:rPr>
                <w:rFonts w:hint="eastAsia" w:asciiTheme="minorEastAsia" w:hAnsiTheme="minorEastAsia" w:eastAsiaTheme="minorEastAsia" w:cstheme="minorEastAsia"/>
                <w:szCs w:val="24"/>
                <w:lang w:val="en-US" w:eastAsia="zh-CN"/>
              </w:rPr>
              <w:t>一年多</w:t>
            </w:r>
            <w:r>
              <w:rPr>
                <w:rFonts w:hint="eastAsia" w:asciiTheme="minorEastAsia" w:hAnsiTheme="minorEastAsia" w:eastAsiaTheme="minorEastAsia" w:cstheme="minorEastAsia"/>
                <w:szCs w:val="24"/>
              </w:rPr>
              <w:t>。对部门及其职责进行了规定，设有</w:t>
            </w:r>
            <w:r>
              <w:rPr>
                <w:rFonts w:hint="eastAsia" w:asciiTheme="minorEastAsia" w:hAnsiTheme="minorEastAsia" w:eastAsiaTheme="minorEastAsia" w:cstheme="minorEastAsia"/>
                <w:szCs w:val="24"/>
                <w:lang w:eastAsia="zh-CN"/>
              </w:rPr>
              <w:t>综合部</w:t>
            </w:r>
            <w:r>
              <w:rPr>
                <w:rFonts w:hint="eastAsia" w:asciiTheme="minorEastAsia" w:hAnsiTheme="minorEastAsia" w:eastAsiaTheme="minorEastAsia" w:cstheme="minorEastAsia"/>
                <w:szCs w:val="24"/>
              </w:rPr>
              <w:t>、</w:t>
            </w:r>
            <w:r>
              <w:rPr>
                <w:rFonts w:hint="eastAsia" w:asciiTheme="minorEastAsia" w:hAnsiTheme="minorEastAsia" w:eastAsiaTheme="minorEastAsia" w:cstheme="minorEastAsia"/>
                <w:szCs w:val="24"/>
                <w:lang w:eastAsia="zh-CN"/>
              </w:rPr>
              <w:t>业务部</w:t>
            </w:r>
            <w:r>
              <w:rPr>
                <w:rFonts w:hint="eastAsia" w:asciiTheme="minorEastAsia" w:hAnsiTheme="minorEastAsia" w:eastAsiaTheme="minorEastAsia" w:cstheme="minorEastAsia"/>
                <w:szCs w:val="24"/>
              </w:rPr>
              <w:t>，编制了岗位职责汇编，以文件上发的形式沟通各部门的职责及各部门之间工作的联系。</w:t>
            </w:r>
          </w:p>
          <w:p>
            <w:pPr>
              <w:spacing w:line="360" w:lineRule="auto"/>
              <w:ind w:firstLine="420" w:firstLineChars="200"/>
              <w:rPr>
                <w:rFonts w:hint="eastAsia" w:asciiTheme="minorEastAsia" w:hAnsiTheme="minorEastAsia" w:eastAsiaTheme="minorEastAsia" w:cstheme="minorEastAsia"/>
                <w:color w:val="000000"/>
                <w:szCs w:val="24"/>
              </w:rPr>
            </w:pPr>
            <w:r>
              <w:rPr>
                <w:rFonts w:hint="eastAsia" w:asciiTheme="minorEastAsia" w:hAnsiTheme="minorEastAsia" w:eastAsiaTheme="minorEastAsia" w:cstheme="minorEastAsia"/>
                <w:szCs w:val="24"/>
              </w:rPr>
              <w:t>总经理</w:t>
            </w:r>
            <w:r>
              <w:rPr>
                <w:rFonts w:hint="eastAsia" w:asciiTheme="minorEastAsia" w:hAnsiTheme="minorEastAsia" w:eastAsiaTheme="minorEastAsia" w:cstheme="minorEastAsia"/>
                <w:szCs w:val="24"/>
                <w:lang w:eastAsia="zh-CN"/>
              </w:rPr>
              <w:t>陈建阳</w:t>
            </w:r>
            <w:r>
              <w:rPr>
                <w:rFonts w:hint="eastAsia" w:asciiTheme="minorEastAsia" w:hAnsiTheme="minorEastAsia" w:eastAsiaTheme="minorEastAsia" w:cstheme="minorEastAsia"/>
                <w:szCs w:val="24"/>
              </w:rPr>
              <w:t>，主要负责公司全面工作，</w:t>
            </w:r>
            <w:r>
              <w:rPr>
                <w:rFonts w:hint="eastAsia" w:asciiTheme="minorEastAsia" w:hAnsiTheme="minorEastAsia" w:eastAsiaTheme="minorEastAsia" w:cstheme="minorEastAsia"/>
                <w:color w:val="000000"/>
                <w:szCs w:val="24"/>
              </w:rPr>
              <w:t>日常主要侧重于公司财务及市场工作，根据</w:t>
            </w:r>
            <w:r>
              <w:rPr>
                <w:rFonts w:hint="eastAsia" w:asciiTheme="minorEastAsia" w:hAnsiTheme="minorEastAsia" w:eastAsiaTheme="minorEastAsia" w:cstheme="minorEastAsia"/>
                <w:color w:val="000000"/>
                <w:szCs w:val="24"/>
                <w:lang w:val="en-US" w:eastAsia="zh-CN"/>
              </w:rPr>
              <w:t>管理</w:t>
            </w:r>
            <w:r>
              <w:rPr>
                <w:rFonts w:hint="eastAsia" w:asciiTheme="minorEastAsia" w:hAnsiTheme="minorEastAsia" w:eastAsiaTheme="minorEastAsia" w:cstheme="minorEastAsia"/>
                <w:color w:val="000000"/>
                <w:szCs w:val="24"/>
              </w:rPr>
              <w:t>体系的要求，负责组织制定方针、目标</w:t>
            </w:r>
            <w:r>
              <w:rPr>
                <w:rFonts w:hint="eastAsia" w:asciiTheme="minorEastAsia" w:hAnsiTheme="minorEastAsia" w:eastAsiaTheme="minorEastAsia" w:cstheme="minorEastAsia"/>
                <w:color w:val="000000"/>
                <w:szCs w:val="24"/>
                <w:lang w:val="en-US" w:eastAsia="zh-CN"/>
              </w:rPr>
              <w:t>制定</w:t>
            </w:r>
            <w:r>
              <w:rPr>
                <w:rFonts w:hint="eastAsia" w:asciiTheme="minorEastAsia" w:hAnsiTheme="minorEastAsia" w:eastAsiaTheme="minorEastAsia" w:cstheme="minorEastAsia"/>
                <w:color w:val="000000"/>
                <w:szCs w:val="24"/>
              </w:rPr>
              <w:t>，管理评审等工作；</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管代</w:t>
            </w:r>
            <w:r>
              <w:rPr>
                <w:rFonts w:hint="eastAsia" w:asciiTheme="minorEastAsia" w:hAnsiTheme="minorEastAsia" w:eastAsiaTheme="minorEastAsia" w:cstheme="minorEastAsia"/>
                <w:szCs w:val="24"/>
                <w:lang w:eastAsia="zh-CN"/>
              </w:rPr>
              <w:t>林森泉</w:t>
            </w:r>
            <w:r>
              <w:rPr>
                <w:rFonts w:hint="eastAsia" w:asciiTheme="minorEastAsia" w:hAnsiTheme="minorEastAsia" w:eastAsiaTheme="minorEastAsia" w:cstheme="minorEastAsia"/>
                <w:szCs w:val="24"/>
              </w:rPr>
              <w:t>，主要负责公司行政及</w:t>
            </w:r>
            <w:r>
              <w:rPr>
                <w:rFonts w:hint="eastAsia" w:asciiTheme="minorEastAsia" w:hAnsiTheme="minorEastAsia" w:eastAsiaTheme="minorEastAsia" w:cstheme="minorEastAsia"/>
                <w:szCs w:val="24"/>
                <w:lang w:val="en-US" w:eastAsia="zh-CN"/>
              </w:rPr>
              <w:t>管理</w:t>
            </w:r>
            <w:r>
              <w:rPr>
                <w:rFonts w:hint="eastAsia" w:asciiTheme="minorEastAsia" w:hAnsiTheme="minorEastAsia" w:eastAsiaTheme="minorEastAsia" w:cstheme="minorEastAsia"/>
                <w:szCs w:val="24"/>
              </w:rPr>
              <w:t>体系工作。</w:t>
            </w:r>
          </w:p>
          <w:p>
            <w:pPr>
              <w:spacing w:line="36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1、确保本公司</w:t>
            </w:r>
            <w:r>
              <w:rPr>
                <w:rFonts w:hint="eastAsia" w:asciiTheme="minorEastAsia" w:hAnsiTheme="minorEastAsia" w:eastAsiaTheme="minorEastAsia" w:cstheme="minorEastAsia"/>
                <w:szCs w:val="24"/>
                <w:lang w:val="en-US" w:eastAsia="zh-CN"/>
              </w:rPr>
              <w:t>管理</w:t>
            </w:r>
            <w:r>
              <w:rPr>
                <w:rFonts w:hint="eastAsia" w:asciiTheme="minorEastAsia" w:hAnsiTheme="minorEastAsia" w:eastAsiaTheme="minorEastAsia" w:cstheme="minorEastAsia"/>
                <w:szCs w:val="24"/>
              </w:rPr>
              <w:t>体系所需的过程得到建立、实施和保持；</w:t>
            </w:r>
          </w:p>
          <w:p>
            <w:pPr>
              <w:spacing w:line="36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2、向总经理报告体系运行的业绩，包括改进的需求；</w:t>
            </w:r>
          </w:p>
          <w:p>
            <w:pPr>
              <w:spacing w:line="36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3、在全公司范围内促进满足顾客要求意识、环境保护意识、职业健康安全意识的形成和提高；就体系有关事宜对外联系。</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总经理主持建立了质量环境职业健康安全管理体系，对管理体系的运行和保持进行了适当的授权，提供了必需的资源，能履行其管理承诺。</w:t>
            </w:r>
          </w:p>
          <w:p>
            <w:pPr>
              <w:spacing w:line="360" w:lineRule="auto"/>
              <w:ind w:firstLine="420" w:firstLineChars="200"/>
              <w:rPr>
                <w:rFonts w:hint="eastAsia" w:asciiTheme="minorEastAsia" w:hAnsiTheme="minorEastAsia" w:eastAsiaTheme="minorEastAsia" w:cstheme="minorEastAsia"/>
                <w:szCs w:val="24"/>
              </w:rPr>
            </w:pPr>
            <w:r>
              <w:rPr>
                <w:rFonts w:ascii="Times New Roman" w:hAnsi="宋体"/>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w:t>
            </w:r>
            <w:r>
              <w:rPr>
                <w:rFonts w:ascii="Times New Roman" w:hAnsi="Times New Roman"/>
              </w:rPr>
              <w:t>/</w:t>
            </w:r>
            <w:r>
              <w:rPr>
                <w:rFonts w:ascii="Times New Roman" w:hAnsi="宋体"/>
              </w:rPr>
              <w:t>环境</w:t>
            </w:r>
            <w:r>
              <w:rPr>
                <w:rFonts w:ascii="Times New Roman" w:hAnsi="Times New Roman"/>
              </w:rPr>
              <w:t>/</w:t>
            </w:r>
            <w:r>
              <w:rPr>
                <w:rFonts w:ascii="Times New Roman" w:hAnsi="宋体"/>
              </w:rPr>
              <w:t>安全工作的投入，提供充分的资源，确保公司管理体系有效运行。目前各项工作基本得到实施，并取得了一定的效果。</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1707" w:type="dxa"/>
            <w:vAlign w:val="top"/>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Cs w:val="24"/>
              </w:rPr>
              <w:t>方针</w:t>
            </w:r>
          </w:p>
        </w:tc>
        <w:tc>
          <w:tcPr>
            <w:tcW w:w="1019" w:type="dxa"/>
            <w:vAlign w:val="top"/>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Cs w:val="24"/>
              </w:rPr>
              <w:t>Q/E/</w:t>
            </w:r>
            <w:r>
              <w:rPr>
                <w:rFonts w:hint="eastAsia" w:asciiTheme="minorEastAsia" w:hAnsiTheme="minorEastAsia" w:eastAsiaTheme="minorEastAsia" w:cstheme="minorEastAsia"/>
                <w:szCs w:val="24"/>
                <w:lang w:eastAsia="zh-CN"/>
              </w:rPr>
              <w:t>O</w:t>
            </w:r>
            <w:r>
              <w:rPr>
                <w:rFonts w:hint="eastAsia" w:asciiTheme="minorEastAsia" w:hAnsiTheme="minorEastAsia" w:eastAsiaTheme="minorEastAsia" w:cstheme="minorEastAsia"/>
                <w:szCs w:val="24"/>
              </w:rPr>
              <w:t xml:space="preserve">：5.2 </w:t>
            </w:r>
          </w:p>
        </w:tc>
        <w:tc>
          <w:tcPr>
            <w:tcW w:w="11223" w:type="dxa"/>
            <w:vAlign w:val="center"/>
          </w:tcPr>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lang w:eastAsia="zh-CN"/>
              </w:rPr>
              <w:t>受审核方</w:t>
            </w:r>
            <w:r>
              <w:rPr>
                <w:rFonts w:hint="eastAsia" w:asciiTheme="minorEastAsia" w:hAnsiTheme="minorEastAsia" w:eastAsiaTheme="minorEastAsia" w:cstheme="minorEastAsia"/>
                <w:szCs w:val="24"/>
              </w:rPr>
              <w:t>已经制定质量、环境、安全方针，具体包含在《管理手册》</w:t>
            </w:r>
          </w:p>
          <w:p>
            <w:pPr>
              <w:spacing w:line="360" w:lineRule="auto"/>
              <w:ind w:firstLine="420" w:firstLineChars="200"/>
              <w:rPr>
                <w:rFonts w:hint="eastAsia"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rPr>
              <w:t>公司的质量、环境、职业健康安全方针是：诚信为本、客户至上</w:t>
            </w: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szCs w:val="24"/>
              </w:rPr>
              <w:t>互惠互利</w:t>
            </w: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szCs w:val="24"/>
              </w:rPr>
              <w:t>开拓创新</w:t>
            </w: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szCs w:val="24"/>
              </w:rPr>
              <w:t>专业执着、精益求精</w:t>
            </w:r>
            <w:r>
              <w:rPr>
                <w:rFonts w:hint="eastAsia" w:asciiTheme="minorEastAsia" w:hAnsiTheme="minorEastAsia" w:eastAsiaTheme="minorEastAsia" w:cstheme="minorEastAsia"/>
                <w:szCs w:val="24"/>
                <w:lang w:eastAsia="zh-CN"/>
              </w:rPr>
              <w:t>。</w:t>
            </w:r>
          </w:p>
          <w:p>
            <w:pPr>
              <w:spacing w:line="360" w:lineRule="auto"/>
              <w:ind w:firstLine="420" w:firstLineChars="200"/>
              <w:rPr>
                <w:rFonts w:hint="eastAsia" w:asciiTheme="minorEastAsia" w:hAnsiTheme="minorEastAsia" w:eastAsiaTheme="minorEastAsia" w:cstheme="minorEastAsia"/>
                <w:szCs w:val="24"/>
                <w:lang w:eastAsia="zh-CN"/>
              </w:rPr>
            </w:pPr>
            <w:r>
              <w:rPr>
                <w:rFonts w:ascii="Times New Roman" w:hAnsi="宋体"/>
              </w:rPr>
              <w:t>通过会议传达，沟通，让全体员工理解执行。并定期进行评审（一般一年一次）。</w:t>
            </w:r>
          </w:p>
          <w:p>
            <w:pPr>
              <w:spacing w:line="360" w:lineRule="auto"/>
              <w:ind w:firstLine="420" w:firstLineChars="200"/>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rPr>
              <w:t>管理评审对质量、环境、职业健康安全方针的适宜性作了评审，判定适宜，适合公司的发展需求。质量、环境和职业健康安全方针符合标准要求。</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707" w:type="dxa"/>
            <w:vAlign w:val="top"/>
          </w:tcPr>
          <w:p>
            <w:pPr>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szCs w:val="24"/>
              </w:rPr>
              <w:t>组织的角色、职责和权限</w:t>
            </w:r>
          </w:p>
        </w:tc>
        <w:tc>
          <w:tcPr>
            <w:tcW w:w="1019" w:type="dxa"/>
            <w:vAlign w:val="top"/>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Cs w:val="24"/>
              </w:rPr>
              <w:t>Q/E/</w:t>
            </w:r>
            <w:r>
              <w:rPr>
                <w:rFonts w:hint="eastAsia" w:asciiTheme="minorEastAsia" w:hAnsiTheme="minorEastAsia" w:eastAsiaTheme="minorEastAsia" w:cstheme="minorEastAsia"/>
                <w:szCs w:val="24"/>
                <w:lang w:eastAsia="zh-CN"/>
              </w:rPr>
              <w:t>O</w:t>
            </w:r>
            <w:r>
              <w:rPr>
                <w:rFonts w:hint="eastAsia" w:asciiTheme="minorEastAsia" w:hAnsiTheme="minorEastAsia" w:eastAsiaTheme="minorEastAsia" w:cstheme="minorEastAsia"/>
                <w:szCs w:val="24"/>
              </w:rPr>
              <w:t xml:space="preserve">：5.3  </w:t>
            </w:r>
          </w:p>
        </w:tc>
        <w:tc>
          <w:tcPr>
            <w:tcW w:w="11223" w:type="dxa"/>
            <w:vAlign w:val="center"/>
          </w:tcPr>
          <w:p>
            <w:pPr>
              <w:spacing w:line="320" w:lineRule="exact"/>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lang w:val="en-US" w:eastAsia="zh-CN"/>
              </w:rPr>
              <w:t>总经理</w:t>
            </w:r>
            <w:r>
              <w:rPr>
                <w:rFonts w:hint="eastAsia" w:asciiTheme="minorEastAsia" w:hAnsiTheme="minorEastAsia" w:eastAsiaTheme="minorEastAsia" w:cstheme="minorEastAsia"/>
                <w:szCs w:val="24"/>
              </w:rPr>
              <w:t>明确了各部门和各岗位的职责和权限，以确保管理体系符合各项标准的要求，并确保各个过程获得其预期输出，向最高管理者报告质量、环境、职业健康安全管理体系的绩效及改进机会，确保整个组织推动以顾客为关注焦点，确保在策划和实施管理体系变更时保持其完整性。</w:t>
            </w:r>
          </w:p>
          <w:p>
            <w:pPr>
              <w:spacing w:line="320" w:lineRule="exact"/>
              <w:rPr>
                <w:rFonts w:ascii="Times New Roman" w:hAnsi="Times New Roman"/>
              </w:rPr>
            </w:pPr>
            <w:r>
              <w:rPr>
                <w:rFonts w:ascii="Times New Roman" w:hAnsi="宋体"/>
              </w:rPr>
              <w:t>公司管理体系覆盖部门包括：综合部</w:t>
            </w:r>
            <w:r>
              <w:rPr>
                <w:rFonts w:ascii="Times New Roman" w:hAnsi="宋体"/>
                <w:lang w:val="zh-CN"/>
              </w:rPr>
              <w:t>、</w:t>
            </w:r>
            <w:r>
              <w:rPr>
                <w:rFonts w:hint="eastAsia" w:hAnsi="宋体"/>
                <w:lang w:val="en-US" w:eastAsia="zh-CN"/>
              </w:rPr>
              <w:t>业务部</w:t>
            </w:r>
            <w:r>
              <w:rPr>
                <w:rFonts w:ascii="Times New Roman" w:hAnsi="宋体"/>
              </w:rPr>
              <w:t>，部门划分尚可。</w:t>
            </w:r>
          </w:p>
          <w:p>
            <w:pPr>
              <w:spacing w:line="360" w:lineRule="auto"/>
              <w:ind w:firstLine="420" w:firstLineChars="200"/>
              <w:rPr>
                <w:rFonts w:hint="eastAsia" w:asciiTheme="minorEastAsia" w:hAnsiTheme="minorEastAsia" w:eastAsiaTheme="minorEastAsia" w:cstheme="minorEastAsia"/>
                <w:color w:val="000000"/>
                <w:sz w:val="21"/>
                <w:szCs w:val="21"/>
                <w:lang w:eastAsia="zh-CN"/>
              </w:rPr>
            </w:pPr>
            <w:r>
              <w:rPr>
                <w:rFonts w:ascii="Times New Roman" w:hAnsi="宋体"/>
              </w:rPr>
              <w:t>在《管理手册》及《岗位任职要求》中规定了各部门及主要岗位人员的工作职责、作用、责任、权限，职责包括了标准要求的所有要求，充分适宜，上述文件通过发放的形成传达到相关部门和人员。包括各级管理者做出的相关责任的承诺等，基本明确了各级人员的环境职业健康安全管理职责等。确认公司目前人力资源、基础设施、技术人员、财力、信息资源均能保证。详见各部门相关条款审核记录。</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7" w:type="dxa"/>
            <w:vAlign w:val="top"/>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Cs w:val="24"/>
              </w:rPr>
              <w:t>应对风险和机会的措施</w:t>
            </w:r>
          </w:p>
        </w:tc>
        <w:tc>
          <w:tcPr>
            <w:tcW w:w="1019" w:type="dxa"/>
            <w:vAlign w:val="top"/>
          </w:tcPr>
          <w:p>
            <w:pPr>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Q：6.1</w:t>
            </w:r>
          </w:p>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Cs w:val="24"/>
              </w:rPr>
              <w:t>E/</w:t>
            </w:r>
            <w:r>
              <w:rPr>
                <w:rFonts w:hint="eastAsia" w:asciiTheme="minorEastAsia" w:hAnsiTheme="minorEastAsia" w:eastAsiaTheme="minorEastAsia" w:cstheme="minorEastAsia"/>
                <w:szCs w:val="24"/>
                <w:lang w:eastAsia="zh-CN"/>
              </w:rPr>
              <w:t>O</w:t>
            </w:r>
            <w:r>
              <w:rPr>
                <w:rFonts w:hint="eastAsia" w:asciiTheme="minorEastAsia" w:hAnsiTheme="minorEastAsia" w:eastAsiaTheme="minorEastAsia" w:cstheme="minorEastAsia"/>
                <w:szCs w:val="24"/>
              </w:rPr>
              <w:t>： 6.1.1</w:t>
            </w:r>
          </w:p>
        </w:tc>
        <w:tc>
          <w:tcPr>
            <w:tcW w:w="11223" w:type="dxa"/>
            <w:vAlign w:val="center"/>
          </w:tcPr>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公司制定管理手册中，明确风险和机遇事件的识别方法/途径、风险和机遇事件的评估方式、制定主要风险和机遇事件的应对措施的要求、评价这些措施有效性的方法。</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制定了《</w:t>
            </w:r>
            <w:r>
              <w:rPr>
                <w:rFonts w:hint="eastAsia"/>
              </w:rPr>
              <w:t>风险识别控制程序</w:t>
            </w:r>
            <w:r>
              <w:rPr>
                <w:rFonts w:hint="eastAsia" w:asciiTheme="minorEastAsia" w:hAnsiTheme="minorEastAsia" w:eastAsiaTheme="minorEastAsia" w:cstheme="minorEastAsia"/>
                <w:szCs w:val="24"/>
              </w:rPr>
              <w:t>》，提供</w:t>
            </w:r>
            <w:r>
              <w:rPr>
                <w:rFonts w:hint="eastAsia" w:asciiTheme="minorEastAsia" w:hAnsiTheme="minorEastAsia" w:eastAsiaTheme="minorEastAsia" w:cstheme="minorEastAsia"/>
                <w:szCs w:val="24"/>
                <w:lang w:eastAsia="zh-CN"/>
              </w:rPr>
              <w:t>《风险识别评估记录表》、《组织风险和机遇控制清单》</w:t>
            </w:r>
            <w:r>
              <w:rPr>
                <w:rFonts w:hint="eastAsia" w:asciiTheme="minorEastAsia" w:hAnsiTheme="minorEastAsia" w:eastAsiaTheme="minorEastAsia" w:cstheme="minorEastAsia"/>
                <w:szCs w:val="24"/>
              </w:rPr>
              <w:t>，按照销售服务、采购、支持过程/部门对风险和机遇进行了评价识别，并制定应对措施。</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lang w:val="en-US" w:eastAsia="zh-CN"/>
              </w:rPr>
              <w:t>如：</w:t>
            </w:r>
            <w:r>
              <w:rPr>
                <w:rFonts w:hint="eastAsia" w:asciiTheme="minorEastAsia" w:hAnsiTheme="minorEastAsia" w:eastAsiaTheme="minorEastAsia" w:cstheme="minorEastAsia"/>
                <w:szCs w:val="24"/>
              </w:rPr>
              <w:t>1、服务监控系统发布假劣产品信息遗漏或反馈不及时、未及时启动应急预案；2、质量信息反馈延误；3、服务不良反应信息收集不主动；4、各类质量信息收集不全面，未做汇总分析；5、未及时启动应急预案（质量事故调查）。</w:t>
            </w:r>
          </w:p>
          <w:p>
            <w:pPr>
              <w:spacing w:line="360" w:lineRule="auto"/>
              <w:ind w:firstLine="420" w:firstLineChars="200"/>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采取措施：1、对质量管理人员加强产品质量信息、质量查询、质量投诉及用户访问管理制度、程序的培训；2、质量管理人员掌握对产品不良监测和报告管理制度、产品质量事故处理管理制度的熟练运用；对各类应急预案的启动清楚了解程序；3、成立售后服务处理中心，避免或减少因投诉信息滞留在业务人员或管理人员而导致的信息延迟、失真、丢失；4、及时启用纠正和纠正措施，甚至应急预案（质量事故调查）。</w:t>
            </w:r>
          </w:p>
          <w:p>
            <w:pPr>
              <w:spacing w:line="360" w:lineRule="auto"/>
              <w:ind w:firstLine="420" w:firstLineChars="200"/>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如：1、采购人员能力意识不符合要求，造成采购劣质原材料； 2、品管人员能力意识不符合要求，检验未检出不良品，3、业务人员能力意识不符合要求，造成公司财产和经济损失</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lang w:val="en-US" w:eastAsia="zh-CN"/>
              </w:rPr>
              <w:t>采取措施：</w:t>
            </w:r>
            <w:r>
              <w:rPr>
                <w:rFonts w:hint="eastAsia" w:asciiTheme="minorEastAsia" w:hAnsiTheme="minorEastAsia" w:eastAsiaTheme="minorEastAsia" w:cstheme="minorEastAsia"/>
                <w:szCs w:val="24"/>
              </w:rPr>
              <w:t>1、加强人员入职考核，关键岗位人员必须做背景调查；2、加强入职培训，确保人员在入职时是符合岗位任职要求的；3、加强任职过程的培训和再培训，对不合格的员工通过调岗、轮岗等方式再培训和对能力的再确认；4、每年对员工能力综合评价一次</w:t>
            </w:r>
          </w:p>
          <w:p>
            <w:pPr>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机遇：</w:t>
            </w:r>
            <w:r>
              <w:rPr>
                <w:rFonts w:hint="eastAsia"/>
                <w:lang w:val="en-US" w:eastAsia="zh-CN"/>
              </w:rPr>
              <w:t xml:space="preserve"> </w:t>
            </w:r>
            <w:r>
              <w:rPr>
                <w:rFonts w:hint="eastAsia"/>
                <w:lang w:eastAsia="zh-CN"/>
              </w:rPr>
              <w:t>质量更具有优势</w:t>
            </w:r>
            <w:r>
              <w:rPr>
                <w:rFonts w:hint="eastAsia"/>
              </w:rPr>
              <w:t>；地理位置优越；公司订单处于逐步递增状态。</w:t>
            </w:r>
          </w:p>
          <w:p>
            <w:pPr>
              <w:spacing w:line="360" w:lineRule="auto"/>
              <w:ind w:firstLine="420" w:firstLineChars="200"/>
              <w:rPr>
                <w:rFonts w:hint="eastAsia"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rPr>
              <w:t>风险机遇识别基本充分，应对风险和机遇的措施基本适宜。</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7" w:type="dxa"/>
            <w:vAlign w:val="top"/>
          </w:tcPr>
          <w:p>
            <w:pPr>
              <w:spacing w:line="280" w:lineRule="exact"/>
              <w:rPr>
                <w:sz w:val="21"/>
                <w:szCs w:val="21"/>
              </w:rPr>
            </w:pPr>
            <w:r>
              <w:rPr>
                <w:rFonts w:hint="eastAsia" w:cs="宋体"/>
                <w:sz w:val="21"/>
                <w:szCs w:val="21"/>
              </w:rPr>
              <w:t>措施的策划</w:t>
            </w:r>
          </w:p>
          <w:p>
            <w:pPr>
              <w:spacing w:line="280" w:lineRule="exact"/>
              <w:rPr>
                <w:rFonts w:hint="eastAsia" w:asciiTheme="minorEastAsia" w:hAnsiTheme="minorEastAsia" w:eastAsiaTheme="minorEastAsia" w:cstheme="minorEastAsia"/>
                <w:szCs w:val="24"/>
              </w:rPr>
            </w:pPr>
          </w:p>
        </w:tc>
        <w:tc>
          <w:tcPr>
            <w:tcW w:w="1019" w:type="dxa"/>
            <w:vAlign w:val="top"/>
          </w:tcPr>
          <w:p>
            <w:pPr>
              <w:spacing w:line="280" w:lineRule="exact"/>
              <w:rPr>
                <w:rFonts w:hint="eastAsia"/>
                <w:sz w:val="21"/>
                <w:szCs w:val="21"/>
                <w:lang w:val="en-US" w:eastAsia="zh-CN"/>
              </w:rPr>
            </w:pPr>
            <w:r>
              <w:rPr>
                <w:rFonts w:hint="eastAsia"/>
                <w:sz w:val="21"/>
                <w:szCs w:val="21"/>
              </w:rPr>
              <w:t>E</w:t>
            </w:r>
            <w:r>
              <w:rPr>
                <w:rFonts w:hint="eastAsia"/>
                <w:sz w:val="21"/>
                <w:szCs w:val="21"/>
                <w:lang w:val="en-US" w:eastAsia="zh-CN"/>
              </w:rPr>
              <w:t>/O:</w:t>
            </w:r>
          </w:p>
          <w:p>
            <w:pPr>
              <w:spacing w:line="280" w:lineRule="exact"/>
              <w:rPr>
                <w:rFonts w:hint="eastAsia"/>
                <w:sz w:val="21"/>
                <w:szCs w:val="21"/>
              </w:rPr>
            </w:pPr>
            <w:r>
              <w:rPr>
                <w:rFonts w:hint="eastAsia"/>
                <w:sz w:val="21"/>
                <w:szCs w:val="21"/>
              </w:rPr>
              <w:t>6.1.4</w:t>
            </w:r>
          </w:p>
          <w:p>
            <w:pPr>
              <w:spacing w:line="280" w:lineRule="exact"/>
              <w:rPr>
                <w:rFonts w:hint="eastAsia" w:asciiTheme="minorEastAsia" w:hAnsiTheme="minorEastAsia" w:eastAsiaTheme="minorEastAsia" w:cstheme="minorEastAsia"/>
                <w:szCs w:val="24"/>
              </w:rPr>
            </w:pPr>
          </w:p>
        </w:tc>
        <w:tc>
          <w:tcPr>
            <w:tcW w:w="11223" w:type="dxa"/>
            <w:vAlign w:val="center"/>
          </w:tcPr>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公司根据环境因素和危险源的风险辨识</w:t>
            </w:r>
            <w:r>
              <w:rPr>
                <w:rFonts w:hint="eastAsia" w:asciiTheme="minorEastAsia" w:hAnsiTheme="minorEastAsia" w:eastAsiaTheme="minorEastAsia" w:cstheme="minorEastAsia"/>
                <w:szCs w:val="24"/>
                <w:lang w:val="en-US" w:eastAsia="zh-CN"/>
              </w:rPr>
              <w:t>评价</w:t>
            </w:r>
            <w:r>
              <w:rPr>
                <w:rFonts w:hint="eastAsia" w:asciiTheme="minorEastAsia" w:hAnsiTheme="minorEastAsia" w:eastAsiaTheme="minorEastAsia" w:cstheme="minorEastAsia"/>
                <w:szCs w:val="24"/>
              </w:rPr>
              <w:t>结果，分别制定出《重要环境因素清单》、《不可接受风险清单》，明确了控制措施计划，通过具体的措施进行有效控制：目标、管理方案、管理制度运行控制、应急预案、日常检查、日常培训。</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制定了《</w:t>
            </w:r>
            <w:r>
              <w:rPr>
                <w:rFonts w:hint="eastAsia"/>
              </w:rPr>
              <w:t>环境因素、危险源识别评价控制程序</w:t>
            </w:r>
            <w:r>
              <w:rPr>
                <w:rFonts w:hint="eastAsia" w:asciiTheme="minorEastAsia" w:hAnsiTheme="minorEastAsia" w:eastAsiaTheme="minorEastAsia" w:cstheme="minorEastAsia"/>
                <w:szCs w:val="24"/>
              </w:rPr>
              <w:t>》、《</w:t>
            </w:r>
            <w:r>
              <w:rPr>
                <w:rFonts w:hint="eastAsia"/>
              </w:rPr>
              <w:t>法津法规及其他要求的获取与识别程序</w:t>
            </w:r>
            <w:r>
              <w:rPr>
                <w:rFonts w:hint="eastAsia" w:asciiTheme="minorEastAsia" w:hAnsiTheme="minorEastAsia" w:eastAsiaTheme="minorEastAsia" w:cstheme="minorEastAsia"/>
                <w:szCs w:val="24"/>
              </w:rPr>
              <w:t>》、《</w:t>
            </w:r>
            <w:r>
              <w:rPr>
                <w:rFonts w:hint="eastAsia"/>
              </w:rPr>
              <w:t>环境职业健康安全监视和测量程序</w:t>
            </w:r>
            <w:r>
              <w:rPr>
                <w:rFonts w:hint="eastAsia" w:asciiTheme="minorEastAsia" w:hAnsiTheme="minorEastAsia" w:eastAsiaTheme="minorEastAsia" w:cstheme="minorEastAsia"/>
                <w:szCs w:val="24"/>
              </w:rPr>
              <w:t>》，每年对公司适用的合规义务进行识别更新并定期评价、检查。</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经组织评价，组织策划的措施基本能够满足风险和机遇应对需要，能够与识别的风险和机遇对产品符合性的潜在影响相适应，基本满足标准要求。</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707" w:type="dxa"/>
            <w:vAlign w:val="top"/>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Cs w:val="24"/>
              </w:rPr>
              <w:t>目标和措施计划（管理方案）</w:t>
            </w:r>
          </w:p>
        </w:tc>
        <w:tc>
          <w:tcPr>
            <w:tcW w:w="1019" w:type="dxa"/>
            <w:vAlign w:val="top"/>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Cs w:val="24"/>
              </w:rPr>
              <w:t>Q/E/</w:t>
            </w:r>
            <w:r>
              <w:rPr>
                <w:rFonts w:hint="eastAsia" w:asciiTheme="minorEastAsia" w:hAnsiTheme="minorEastAsia" w:eastAsiaTheme="minorEastAsia" w:cstheme="minorEastAsia"/>
                <w:szCs w:val="24"/>
                <w:lang w:eastAsia="zh-CN"/>
              </w:rPr>
              <w:t>O</w:t>
            </w:r>
            <w:r>
              <w:rPr>
                <w:rFonts w:hint="eastAsia" w:asciiTheme="minorEastAsia" w:hAnsiTheme="minorEastAsia" w:eastAsiaTheme="minorEastAsia" w:cstheme="minorEastAsia"/>
                <w:szCs w:val="24"/>
              </w:rPr>
              <w:t xml:space="preserve">：6.2  </w:t>
            </w:r>
          </w:p>
        </w:tc>
        <w:tc>
          <w:tcPr>
            <w:tcW w:w="11223" w:type="dxa"/>
            <w:vAlign w:val="center"/>
          </w:tcPr>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公司对管理体系所需的相关职能、层次和过程设定管理目标。管理目标应：a) 与管理方针保持一致；b) 可测量；c) 考虑适用的要求；d) 与提供合格产品和服务以及增强顾客满意相关；e) 予以监视；f) 予以沟通；g) 适时更新。公司制定 “目标控制程序”来规划公司的整体管理目标，并以目标管理方法层层展开落实，各部门依据公司整体目标制订相应的管理目标实施方案并统计实绩，根据每年目标达成状况，通过管理审查会议审查评估绩效并制定下一年度的目标。</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公司对管理体系所需的相关职能、层次和过程设定管理目标。</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管理目标是：</w:t>
            </w:r>
          </w:p>
          <w:p>
            <w:pPr>
              <w:spacing w:line="360" w:lineRule="auto"/>
              <w:ind w:firstLine="420" w:firstLineChars="200"/>
              <w:rPr>
                <w:rFonts w:hint="eastAsia"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rPr>
              <w:t xml:space="preserve">质量目标 </w:t>
            </w:r>
            <w:r>
              <w:rPr>
                <w:rFonts w:hint="eastAsia" w:asciiTheme="minorEastAsia" w:hAnsiTheme="minorEastAsia" w:eastAsiaTheme="minorEastAsia" w:cstheme="minorEastAsia"/>
                <w:szCs w:val="24"/>
                <w:lang w:eastAsia="zh-CN"/>
              </w:rPr>
              <w:t>：</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1、 商品符合合同要求，合格率达到9</w:t>
            </w:r>
            <w:r>
              <w:rPr>
                <w:rFonts w:hint="eastAsia" w:asciiTheme="minorEastAsia" w:hAnsiTheme="minorEastAsia" w:eastAsiaTheme="minorEastAsia" w:cstheme="minorEastAsia"/>
                <w:szCs w:val="24"/>
                <w:lang w:val="en-US" w:eastAsia="zh-CN"/>
              </w:rPr>
              <w:t>5</w:t>
            </w:r>
            <w:r>
              <w:rPr>
                <w:rFonts w:hint="eastAsia" w:asciiTheme="minorEastAsia" w:hAnsiTheme="minorEastAsia" w:eastAsiaTheme="minorEastAsia" w:cstheme="minorEastAsia"/>
                <w:szCs w:val="24"/>
              </w:rPr>
              <w:t xml:space="preserve">%及以上； </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2、 顾客满意度</w:t>
            </w: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szCs w:val="24"/>
                <w:lang w:val="en-US" w:eastAsia="zh-CN"/>
              </w:rPr>
              <w:t>90</w:t>
            </w:r>
            <w:r>
              <w:rPr>
                <w:rFonts w:hint="eastAsia" w:asciiTheme="minorEastAsia" w:hAnsiTheme="minorEastAsia" w:eastAsiaTheme="minorEastAsia" w:cstheme="minorEastAsia"/>
                <w:szCs w:val="24"/>
              </w:rPr>
              <w:t xml:space="preserve">分； </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3、 退货</w:t>
            </w:r>
            <w:r>
              <w:rPr>
                <w:rFonts w:hint="eastAsia" w:asciiTheme="minorEastAsia" w:hAnsiTheme="minorEastAsia" w:eastAsiaTheme="minorEastAsia" w:cstheme="minorEastAsia"/>
                <w:szCs w:val="24"/>
                <w:lang w:eastAsia="zh-CN"/>
              </w:rPr>
              <w:t>次数≤</w:t>
            </w:r>
            <w:r>
              <w:rPr>
                <w:rFonts w:hint="eastAsia" w:asciiTheme="minorEastAsia" w:hAnsiTheme="minorEastAsia" w:eastAsiaTheme="minorEastAsia" w:cstheme="minorEastAsia"/>
                <w:szCs w:val="24"/>
                <w:lang w:val="en-US" w:eastAsia="zh-CN"/>
              </w:rPr>
              <w:t>1次/月。</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环境目标：</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1.固体废弃物分类管理，处置率100%；</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2.杜绝火灾事故。</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职业健康安全目标：</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lang w:val="en-US" w:eastAsia="zh-CN"/>
              </w:rPr>
              <w:t>1.</w:t>
            </w:r>
            <w:r>
              <w:rPr>
                <w:rFonts w:hint="eastAsia" w:asciiTheme="minorEastAsia" w:hAnsiTheme="minorEastAsia" w:eastAsiaTheme="minorEastAsia" w:cstheme="minorEastAsia"/>
                <w:szCs w:val="24"/>
              </w:rPr>
              <w:t>触电</w:t>
            </w:r>
            <w:r>
              <w:rPr>
                <w:rFonts w:hint="eastAsia" w:asciiTheme="minorEastAsia" w:hAnsiTheme="minorEastAsia" w:eastAsiaTheme="minorEastAsia" w:cstheme="minorEastAsia"/>
                <w:szCs w:val="24"/>
                <w:lang w:val="en-US" w:eastAsia="zh-CN"/>
              </w:rPr>
              <w:t>事故为0次/年;</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lang w:val="en-US" w:eastAsia="zh-CN"/>
              </w:rPr>
              <w:t>2.</w:t>
            </w:r>
            <w:r>
              <w:rPr>
                <w:rFonts w:hint="eastAsia" w:asciiTheme="minorEastAsia" w:hAnsiTheme="minorEastAsia" w:eastAsiaTheme="minorEastAsia" w:cstheme="minorEastAsia"/>
                <w:szCs w:val="24"/>
              </w:rPr>
              <w:t>火灾事故</w:t>
            </w:r>
            <w:r>
              <w:rPr>
                <w:rFonts w:hint="eastAsia" w:asciiTheme="minorEastAsia" w:hAnsiTheme="minorEastAsia" w:eastAsiaTheme="minorEastAsia" w:cstheme="minorEastAsia"/>
                <w:szCs w:val="24"/>
                <w:lang w:val="en-US" w:eastAsia="zh-CN"/>
              </w:rPr>
              <w:t>为0次/年</w:t>
            </w:r>
            <w:r>
              <w:rPr>
                <w:rFonts w:hint="eastAsia" w:asciiTheme="minorEastAsia" w:hAnsiTheme="minorEastAsia" w:eastAsiaTheme="minorEastAsia" w:cstheme="minorEastAsia"/>
                <w:szCs w:val="24"/>
              </w:rPr>
              <w:t>；</w:t>
            </w:r>
          </w:p>
          <w:p>
            <w:pPr>
              <w:spacing w:line="360" w:lineRule="auto"/>
              <w:ind w:firstLine="420" w:firstLineChars="200"/>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3.交通意外事故为0次/年。</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目标可测量，与公司管理方针一致。</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每</w:t>
            </w:r>
            <w:r>
              <w:rPr>
                <w:rFonts w:hint="eastAsia" w:asciiTheme="minorEastAsia" w:hAnsiTheme="minorEastAsia" w:eastAsiaTheme="minorEastAsia" w:cstheme="minorEastAsia"/>
                <w:szCs w:val="24"/>
                <w:lang w:eastAsia="zh-CN"/>
              </w:rPr>
              <w:t>季度</w:t>
            </w:r>
            <w:r>
              <w:rPr>
                <w:rFonts w:hint="eastAsia" w:asciiTheme="minorEastAsia" w:hAnsiTheme="minorEastAsia" w:eastAsiaTheme="minorEastAsia" w:cstheme="minorEastAsia"/>
                <w:szCs w:val="24"/>
              </w:rPr>
              <w:t>由</w:t>
            </w:r>
            <w:r>
              <w:rPr>
                <w:rFonts w:hint="eastAsia" w:asciiTheme="minorEastAsia" w:hAnsiTheme="minorEastAsia" w:eastAsiaTheme="minorEastAsia" w:cstheme="minorEastAsia"/>
                <w:szCs w:val="24"/>
                <w:lang w:eastAsia="zh-CN"/>
              </w:rPr>
              <w:t>管理部</w:t>
            </w:r>
            <w:r>
              <w:rPr>
                <w:rFonts w:hint="eastAsia" w:asciiTheme="minorEastAsia" w:hAnsiTheme="minorEastAsia" w:eastAsiaTheme="minorEastAsia" w:cstheme="minorEastAsia"/>
                <w:szCs w:val="24"/>
              </w:rPr>
              <w:t>按公司管理目标考核要求统计考核公司管理目标完成情况，提交管理评审会议。查到</w:t>
            </w:r>
            <w:r>
              <w:rPr>
                <w:rFonts w:hint="eastAsia" w:asciiTheme="minorEastAsia" w:hAnsiTheme="minorEastAsia" w:eastAsiaTheme="minorEastAsia" w:cstheme="minorEastAsia"/>
                <w:szCs w:val="24"/>
                <w:lang w:val="en-US" w:eastAsia="zh-CN"/>
              </w:rPr>
              <w:t>2020年《2020年管理目标完成统计表》</w:t>
            </w:r>
            <w:r>
              <w:rPr>
                <w:rFonts w:hint="eastAsia" w:asciiTheme="minorEastAsia" w:hAnsiTheme="minorEastAsia" w:eastAsiaTheme="minorEastAsia" w:cstheme="minorEastAsia"/>
                <w:szCs w:val="24"/>
              </w:rPr>
              <w:t>完成情况，各项目标均已完成，考核人</w:t>
            </w:r>
            <w:r>
              <w:rPr>
                <w:rFonts w:hint="eastAsia" w:asciiTheme="minorEastAsia" w:hAnsiTheme="minorEastAsia" w:eastAsiaTheme="minorEastAsia" w:cstheme="minorEastAsia"/>
                <w:szCs w:val="24"/>
                <w:lang w:eastAsia="zh-CN"/>
              </w:rPr>
              <w:t>林森泉</w:t>
            </w:r>
            <w:r>
              <w:rPr>
                <w:rFonts w:hint="eastAsia" w:asciiTheme="minorEastAsia" w:hAnsiTheme="minorEastAsia" w:eastAsiaTheme="minorEastAsia" w:cstheme="minorEastAsia"/>
                <w:szCs w:val="24"/>
              </w:rPr>
              <w:t>。</w:t>
            </w:r>
          </w:p>
          <w:p>
            <w:pPr>
              <w:spacing w:line="360" w:lineRule="auto"/>
              <w:ind w:firstLine="420" w:firstLineChars="200"/>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公司管理目标已分解到各部门，由综合部负责统计考核。</w:t>
            </w:r>
          </w:p>
          <w:p>
            <w:pPr>
              <w:spacing w:line="360" w:lineRule="auto"/>
              <w:ind w:firstLine="420" w:firstLineChars="200"/>
              <w:rPr>
                <w:rFonts w:hint="eastAsia"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rPr>
              <w:t>针对重要环境因素、</w:t>
            </w:r>
            <w:r>
              <w:rPr>
                <w:rFonts w:hint="eastAsia" w:asciiTheme="minorEastAsia" w:hAnsiTheme="minorEastAsia" w:eastAsiaTheme="minorEastAsia" w:cstheme="minorEastAsia"/>
                <w:szCs w:val="24"/>
                <w:lang w:eastAsia="zh-CN"/>
              </w:rPr>
              <w:t>重大危险源</w:t>
            </w:r>
            <w:r>
              <w:rPr>
                <w:rFonts w:hint="eastAsia" w:asciiTheme="minorEastAsia" w:hAnsiTheme="minorEastAsia" w:eastAsiaTheme="minorEastAsia" w:cstheme="minorEastAsia"/>
                <w:szCs w:val="24"/>
              </w:rPr>
              <w:t>制订了管理方案并予以实施，基本有效，详见审核</w:t>
            </w:r>
            <w:r>
              <w:rPr>
                <w:rFonts w:hint="eastAsia" w:asciiTheme="minorEastAsia" w:hAnsiTheme="minorEastAsia" w:eastAsiaTheme="minorEastAsia" w:cstheme="minorEastAsia"/>
                <w:szCs w:val="24"/>
                <w:lang w:val="en-US" w:eastAsia="zh-CN"/>
              </w:rPr>
              <w:t>综合部</w:t>
            </w:r>
            <w:r>
              <w:rPr>
                <w:rFonts w:hint="eastAsia" w:asciiTheme="minorEastAsia" w:hAnsiTheme="minorEastAsia" w:eastAsiaTheme="minorEastAsia" w:cstheme="minorEastAsia"/>
                <w:szCs w:val="24"/>
              </w:rPr>
              <w:t>该条款记录。</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707" w:type="dxa"/>
            <w:vAlign w:val="top"/>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Cs w:val="24"/>
              </w:rPr>
              <w:t>变更的策划</w:t>
            </w:r>
          </w:p>
        </w:tc>
        <w:tc>
          <w:tcPr>
            <w:tcW w:w="1019" w:type="dxa"/>
            <w:vAlign w:val="top"/>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Cs w:val="24"/>
              </w:rPr>
              <w:t>Q：6.3</w:t>
            </w:r>
          </w:p>
        </w:tc>
        <w:tc>
          <w:tcPr>
            <w:tcW w:w="11223" w:type="dxa"/>
            <w:vAlign w:val="center"/>
          </w:tcPr>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总经理介绍变更时应考虑到：变更目的及其潜在后果；管理体系的完整性；资源的可获得性；责任和权限的分配或再分配。并要求对变更质量管理体系应进行评审，确保文件的适宜性，经批准后发布实施，</w:t>
            </w:r>
          </w:p>
          <w:p>
            <w:pPr>
              <w:spacing w:line="360" w:lineRule="auto"/>
              <w:ind w:firstLine="420" w:firstLineChars="200"/>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Cs w:val="24"/>
                <w:lang w:val="en-US" w:eastAsia="zh-CN"/>
              </w:rPr>
              <w:t>目前企业经营地址变更为：泉州市惠安县东桥镇屿头山村屿头959号，相应文件已经修订，对体系运行影响不大。</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707" w:type="dxa"/>
            <w:vAlign w:val="top"/>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Cs w:val="24"/>
              </w:rPr>
              <w:t>资源</w:t>
            </w:r>
          </w:p>
        </w:tc>
        <w:tc>
          <w:tcPr>
            <w:tcW w:w="1019" w:type="dxa"/>
            <w:vAlign w:val="top"/>
          </w:tcPr>
          <w:p>
            <w:pPr>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Q：7.1.1  </w:t>
            </w:r>
          </w:p>
          <w:p>
            <w:pPr>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Cs w:val="24"/>
              </w:rPr>
              <w:t>E/</w:t>
            </w:r>
            <w:r>
              <w:rPr>
                <w:rFonts w:hint="eastAsia" w:asciiTheme="minorEastAsia" w:hAnsiTheme="minorEastAsia" w:eastAsiaTheme="minorEastAsia" w:cstheme="minorEastAsia"/>
                <w:szCs w:val="24"/>
                <w:lang w:eastAsia="zh-CN"/>
              </w:rPr>
              <w:t>O</w:t>
            </w:r>
            <w:r>
              <w:rPr>
                <w:rFonts w:hint="eastAsia" w:asciiTheme="minorEastAsia" w:hAnsiTheme="minorEastAsia" w:eastAsiaTheme="minorEastAsia" w:cstheme="minorEastAsia"/>
                <w:szCs w:val="24"/>
              </w:rPr>
              <w:t>：7.1</w:t>
            </w:r>
          </w:p>
        </w:tc>
        <w:tc>
          <w:tcPr>
            <w:tcW w:w="11223" w:type="dxa"/>
            <w:vAlign w:val="center"/>
          </w:tcPr>
          <w:p>
            <w:pPr>
              <w:snapToGrid w:val="0"/>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公司为确保管理体系的有效运行和持续改进，确保满足顾客要求，增强顾客满意，为管理体系的有效运行和持续改进提供充分的资源，包括人力资源、基础设施</w:t>
            </w: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szCs w:val="24"/>
                <w:lang w:val="en-US" w:eastAsia="zh-CN"/>
              </w:rPr>
              <w:t>环保设备、职业健康安全设备</w:t>
            </w:r>
            <w:r>
              <w:rPr>
                <w:rFonts w:hint="eastAsia" w:asciiTheme="minorEastAsia" w:hAnsiTheme="minorEastAsia" w:eastAsiaTheme="minorEastAsia" w:cstheme="minorEastAsia"/>
                <w:szCs w:val="24"/>
              </w:rPr>
              <w:t>和工作环境；还包括为增强顾客满意所必需的资源。现有员工、办公场所、办公设备等基础设施以及必要的工作环境，配备较为充分。</w:t>
            </w:r>
          </w:p>
          <w:p>
            <w:pPr>
              <w:snapToGrid w:val="0"/>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总经理</w:t>
            </w:r>
            <w:r>
              <w:rPr>
                <w:rFonts w:hint="eastAsia" w:asciiTheme="minorEastAsia" w:hAnsiTheme="minorEastAsia" w:eastAsiaTheme="minorEastAsia" w:cstheme="minorEastAsia"/>
                <w:szCs w:val="24"/>
                <w:lang w:eastAsia="zh-CN"/>
              </w:rPr>
              <w:t>陈建阳</w:t>
            </w:r>
            <w:r>
              <w:rPr>
                <w:rFonts w:hint="eastAsia" w:asciiTheme="minorEastAsia" w:hAnsiTheme="minorEastAsia" w:eastAsiaTheme="minorEastAsia" w:cstheme="minorEastAsia"/>
                <w:szCs w:val="24"/>
              </w:rPr>
              <w:t>主持了今年的管理评审，对方针、目标的适宜性进行了评审，协助管代进行了内审，确保所需资源得到满足。</w:t>
            </w:r>
          </w:p>
          <w:p>
            <w:pPr>
              <w:snapToGrid w:val="0"/>
              <w:spacing w:line="360" w:lineRule="auto"/>
              <w:ind w:firstLine="420" w:firstLineChars="200"/>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rPr>
              <w:t>为确保公司环保、安全资金得得以保障，公司每年制定专门预算，及时提供有关资金，确保本公司各项资金及时到位，保证环保、安全活动得到实施，达到预防污染、安全第一的活动目的。</w:t>
            </w:r>
            <w:r>
              <w:rPr>
                <w:rFonts w:hint="eastAsia" w:asciiTheme="minorEastAsia" w:hAnsiTheme="minorEastAsia" w:eastAsiaTheme="minorEastAsia" w:cstheme="minorEastAsia"/>
                <w:szCs w:val="24"/>
                <w:lang w:val="en-US" w:eastAsia="zh-CN"/>
              </w:rPr>
              <w:t>查看《环保安全费用提取和使用计划》</w:t>
            </w:r>
            <w:r>
              <w:rPr>
                <w:rFonts w:hint="eastAsia" w:asciiTheme="minorEastAsia" w:hAnsiTheme="minorEastAsia" w:eastAsiaTheme="minorEastAsia" w:cstheme="minorEastAsia"/>
                <w:szCs w:val="24"/>
              </w:rPr>
              <w:t>经了解组织环保、安全主要投入到固废分类处置、劳保、</w:t>
            </w:r>
            <w:r>
              <w:rPr>
                <w:rFonts w:hint="eastAsia" w:asciiTheme="minorEastAsia" w:hAnsiTheme="minorEastAsia" w:eastAsiaTheme="minorEastAsia" w:cstheme="minorEastAsia"/>
                <w:szCs w:val="24"/>
                <w:lang w:val="en-US" w:eastAsia="zh-CN"/>
              </w:rPr>
              <w:t>疫情防控</w:t>
            </w:r>
            <w:r>
              <w:rPr>
                <w:rFonts w:hint="eastAsia" w:asciiTheme="minorEastAsia" w:hAnsiTheme="minorEastAsia" w:eastAsiaTheme="minorEastAsia" w:cstheme="minorEastAsia"/>
                <w:szCs w:val="24"/>
              </w:rPr>
              <w:t>、消防、（高温补助、取暖费）福利费用等投入方面</w:t>
            </w:r>
            <w:r>
              <w:rPr>
                <w:rFonts w:hint="eastAsia" w:asciiTheme="minorEastAsia" w:hAnsiTheme="minorEastAsia" w:eastAsiaTheme="minorEastAsia" w:cstheme="minorEastAsia"/>
                <w:szCs w:val="24"/>
                <w:lang w:eastAsia="zh-CN"/>
              </w:rPr>
              <w:t>。</w:t>
            </w:r>
          </w:p>
          <w:p>
            <w:pPr>
              <w:snapToGrid w:val="0"/>
              <w:spacing w:line="360" w:lineRule="auto"/>
              <w:ind w:firstLine="420" w:firstLineChars="20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查见《劳保用品发放登记表》，按月发放手套、口罩、洗衣粉、套袖等劳保用品，办公、仓储现场有分类垃圾箱、禁烟标识、灭火器等器材。</w:t>
            </w:r>
          </w:p>
          <w:p>
            <w:pPr>
              <w:snapToGrid w:val="0"/>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查见环保</w:t>
            </w: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szCs w:val="24"/>
                <w:lang w:val="en-US" w:eastAsia="zh-CN"/>
              </w:rPr>
              <w:t>职业健康安全</w:t>
            </w:r>
            <w:r>
              <w:rPr>
                <w:rFonts w:hint="eastAsia" w:asciiTheme="minorEastAsia" w:hAnsiTheme="minorEastAsia" w:eastAsiaTheme="minorEastAsia" w:cstheme="minorEastAsia"/>
                <w:szCs w:val="24"/>
              </w:rPr>
              <w:t>财务支出明细，</w:t>
            </w:r>
            <w:r>
              <w:rPr>
                <w:rFonts w:hint="eastAsia" w:asciiTheme="minorEastAsia" w:hAnsiTheme="minorEastAsia" w:eastAsiaTheme="minorEastAsia" w:cstheme="minorEastAsia"/>
                <w:szCs w:val="24"/>
                <w:lang w:eastAsia="zh-CN"/>
              </w:rPr>
              <w:t>20</w:t>
            </w:r>
            <w:r>
              <w:rPr>
                <w:rFonts w:hint="eastAsia" w:asciiTheme="minorEastAsia" w:hAnsiTheme="minorEastAsia" w:eastAsiaTheme="minorEastAsia" w:cstheme="minorEastAsia"/>
                <w:szCs w:val="24"/>
                <w:lang w:val="en-US" w:eastAsia="zh-CN"/>
              </w:rPr>
              <w:t>20</w:t>
            </w:r>
            <w:r>
              <w:rPr>
                <w:rFonts w:hint="eastAsia" w:asciiTheme="minorEastAsia" w:hAnsiTheme="minorEastAsia" w:eastAsiaTheme="minorEastAsia" w:cstheme="minorEastAsia"/>
                <w:szCs w:val="24"/>
                <w:lang w:eastAsia="zh-CN"/>
              </w:rPr>
              <w:t>年</w:t>
            </w:r>
            <w:r>
              <w:rPr>
                <w:rFonts w:hint="eastAsia" w:asciiTheme="minorEastAsia" w:hAnsiTheme="minorEastAsia" w:eastAsiaTheme="minorEastAsia" w:cstheme="minorEastAsia"/>
                <w:szCs w:val="24"/>
                <w:lang w:val="en-US" w:eastAsia="zh-CN"/>
              </w:rPr>
              <w:t>1</w:t>
            </w:r>
            <w:r>
              <w:rPr>
                <w:rFonts w:hint="eastAsia" w:asciiTheme="minorEastAsia" w:hAnsiTheme="minorEastAsia" w:eastAsiaTheme="minorEastAsia" w:cstheme="minorEastAsia"/>
                <w:szCs w:val="24"/>
                <w:lang w:eastAsia="zh-CN"/>
              </w:rPr>
              <w:t>月</w:t>
            </w:r>
            <w:r>
              <w:rPr>
                <w:rFonts w:hint="eastAsia" w:asciiTheme="minorEastAsia" w:hAnsiTheme="minorEastAsia" w:eastAsiaTheme="minorEastAsia" w:cstheme="minorEastAsia"/>
                <w:szCs w:val="24"/>
                <w:lang w:val="en-US" w:eastAsia="zh-CN"/>
              </w:rPr>
              <w:t>以来</w:t>
            </w:r>
            <w:r>
              <w:rPr>
                <w:rFonts w:hint="eastAsia" w:asciiTheme="minorEastAsia" w:hAnsiTheme="minorEastAsia" w:eastAsiaTheme="minorEastAsia" w:cstheme="minorEastAsia"/>
                <w:szCs w:val="24"/>
              </w:rPr>
              <w:t>支出约</w:t>
            </w:r>
            <w:r>
              <w:rPr>
                <w:rFonts w:hint="eastAsia" w:asciiTheme="minorEastAsia" w:hAnsiTheme="minorEastAsia" w:eastAsiaTheme="minorEastAsia" w:cstheme="minorEastAsia"/>
                <w:szCs w:val="24"/>
                <w:lang w:val="en-US" w:eastAsia="zh-CN"/>
              </w:rPr>
              <w:t>6</w:t>
            </w:r>
            <w:r>
              <w:rPr>
                <w:rFonts w:hint="eastAsia" w:asciiTheme="minorEastAsia" w:hAnsiTheme="minorEastAsia" w:eastAsiaTheme="minorEastAsia" w:cstheme="minorEastAsia"/>
                <w:szCs w:val="24"/>
              </w:rPr>
              <w:t>万元</w:t>
            </w:r>
            <w:r>
              <w:rPr>
                <w:rFonts w:hint="eastAsia" w:asciiTheme="minorEastAsia" w:hAnsiTheme="minorEastAsia" w:eastAsiaTheme="minorEastAsia" w:cstheme="minorEastAsia"/>
                <w:szCs w:val="24"/>
                <w:lang w:val="en-US" w:eastAsia="zh-CN"/>
              </w:rPr>
              <w:t>左右</w:t>
            </w:r>
            <w:r>
              <w:rPr>
                <w:rFonts w:hint="eastAsia" w:asciiTheme="minorEastAsia" w:hAnsiTheme="minorEastAsia" w:eastAsiaTheme="minorEastAsia" w:cstheme="minorEastAsia"/>
                <w:szCs w:val="24"/>
              </w:rPr>
              <w:t>。</w:t>
            </w:r>
          </w:p>
          <w:p>
            <w:pPr>
              <w:autoSpaceDE w:val="0"/>
              <w:autoSpaceDN w:val="0"/>
              <w:adjustRightInd w:val="0"/>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通过现场观察及与领导沟通了解到，公司为确保管理体系的有效运行和持续改进，确保满足顾客要求，增强顾客满意，确定并提供了必要的资源，目前办公</w:t>
            </w: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szCs w:val="24"/>
                <w:lang w:val="en-US" w:eastAsia="zh-CN"/>
              </w:rPr>
              <w:t>销售</w:t>
            </w:r>
            <w:r>
              <w:rPr>
                <w:rFonts w:hint="eastAsia" w:asciiTheme="minorEastAsia" w:hAnsiTheme="minorEastAsia" w:eastAsiaTheme="minorEastAsia" w:cstheme="minorEastAsia"/>
                <w:szCs w:val="24"/>
              </w:rPr>
              <w:t>等资源配备基本能满足要求，机构设置合理。经过管理体系运行证明，现有资源可满足体系和产品的要求。</w:t>
            </w:r>
          </w:p>
          <w:p>
            <w:pPr>
              <w:spacing w:line="360" w:lineRule="auto"/>
              <w:ind w:firstLine="420" w:firstLineChars="2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szCs w:val="24"/>
              </w:rPr>
              <w:t>公司目前的基础设施，能够满足当前</w:t>
            </w:r>
            <w:r>
              <w:rPr>
                <w:rFonts w:hint="eastAsia" w:asciiTheme="minorEastAsia" w:hAnsiTheme="minorEastAsia" w:eastAsiaTheme="minorEastAsia" w:cstheme="minorEastAsia"/>
                <w:szCs w:val="24"/>
                <w:lang w:eastAsia="zh-CN"/>
              </w:rPr>
              <w:t>管理体系</w:t>
            </w:r>
            <w:r>
              <w:rPr>
                <w:rFonts w:hint="eastAsia" w:asciiTheme="minorEastAsia" w:hAnsiTheme="minorEastAsia" w:eastAsiaTheme="minorEastAsia" w:cstheme="minorEastAsia"/>
                <w:szCs w:val="24"/>
              </w:rPr>
              <w:t>的要求。公司将依据经营发展的需要，会不断补充与增加。</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707" w:type="dxa"/>
            <w:vAlign w:val="top"/>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Cs w:val="24"/>
              </w:rPr>
              <w:t>管理评审</w:t>
            </w:r>
          </w:p>
        </w:tc>
        <w:tc>
          <w:tcPr>
            <w:tcW w:w="1019" w:type="dxa"/>
            <w:vAlign w:val="top"/>
          </w:tcPr>
          <w:p>
            <w:pPr>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Cs w:val="24"/>
              </w:rPr>
              <w:t>Q/E/</w:t>
            </w:r>
            <w:r>
              <w:rPr>
                <w:rFonts w:hint="eastAsia" w:asciiTheme="minorEastAsia" w:hAnsiTheme="minorEastAsia" w:eastAsiaTheme="minorEastAsia" w:cstheme="minorEastAsia"/>
                <w:szCs w:val="24"/>
                <w:lang w:eastAsia="zh-CN"/>
              </w:rPr>
              <w:t>O</w:t>
            </w:r>
            <w:r>
              <w:rPr>
                <w:rFonts w:hint="eastAsia" w:asciiTheme="minorEastAsia" w:hAnsiTheme="minorEastAsia" w:eastAsiaTheme="minorEastAsia" w:cstheme="minorEastAsia"/>
                <w:szCs w:val="24"/>
              </w:rPr>
              <w:t xml:space="preserve">：9.3  </w:t>
            </w:r>
          </w:p>
        </w:tc>
        <w:tc>
          <w:tcPr>
            <w:tcW w:w="11223" w:type="dxa"/>
            <w:vAlign w:val="center"/>
          </w:tcPr>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查看《管理评审程序》，基本符合要求。</w:t>
            </w:r>
            <w:r>
              <w:rPr>
                <w:rFonts w:hint="eastAsia" w:asciiTheme="minorEastAsia" w:hAnsiTheme="minorEastAsia" w:eastAsiaTheme="minorEastAsia" w:cstheme="minorEastAsia"/>
                <w:szCs w:val="24"/>
                <w:lang w:eastAsia="zh-CN"/>
              </w:rPr>
              <w:t>20</w:t>
            </w:r>
            <w:r>
              <w:rPr>
                <w:rFonts w:hint="eastAsia" w:asciiTheme="minorEastAsia" w:hAnsiTheme="minorEastAsia" w:eastAsiaTheme="minorEastAsia" w:cstheme="minorEastAsia"/>
                <w:szCs w:val="24"/>
                <w:lang w:val="en-US" w:eastAsia="zh-CN"/>
              </w:rPr>
              <w:t>20-11-25</w:t>
            </w:r>
            <w:r>
              <w:rPr>
                <w:rFonts w:hint="eastAsia" w:asciiTheme="minorEastAsia" w:hAnsiTheme="minorEastAsia" w:eastAsiaTheme="minorEastAsia" w:cstheme="minorEastAsia"/>
                <w:szCs w:val="24"/>
              </w:rPr>
              <w:t>进行了管理评审。</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查看 “管理评审计划”，由</w:t>
            </w:r>
            <w:r>
              <w:rPr>
                <w:rFonts w:hint="eastAsia" w:asciiTheme="minorEastAsia" w:hAnsiTheme="minorEastAsia" w:eastAsiaTheme="minorEastAsia" w:cstheme="minorEastAsia"/>
                <w:szCs w:val="24"/>
                <w:lang w:val="en-US" w:eastAsia="zh-CN"/>
              </w:rPr>
              <w:t>总经理</w:t>
            </w:r>
            <w:r>
              <w:rPr>
                <w:rFonts w:hint="eastAsia" w:asciiTheme="minorEastAsia" w:hAnsiTheme="minorEastAsia" w:eastAsiaTheme="minorEastAsia" w:cstheme="minorEastAsia"/>
                <w:szCs w:val="24"/>
                <w:lang w:eastAsia="zh-CN"/>
              </w:rPr>
              <w:t>陈建阳</w:t>
            </w:r>
            <w:r>
              <w:rPr>
                <w:rFonts w:hint="eastAsia" w:asciiTheme="minorEastAsia" w:hAnsiTheme="minorEastAsia" w:eastAsiaTheme="minorEastAsia" w:cstheme="minorEastAsia"/>
                <w:szCs w:val="24"/>
              </w:rPr>
              <w:t>签发；内容包括；评审目的、评审时间、参加部门人员、评审输入内容等。</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管理评审输入:包括组织的战略方向、与</w:t>
            </w:r>
            <w:r>
              <w:rPr>
                <w:rFonts w:hint="eastAsia" w:asciiTheme="minorEastAsia" w:hAnsiTheme="minorEastAsia" w:eastAsiaTheme="minorEastAsia" w:cstheme="minorEastAsia"/>
                <w:szCs w:val="24"/>
                <w:lang w:eastAsia="zh-CN"/>
              </w:rPr>
              <w:t>质量、环境、职业健康安全管理体系</w:t>
            </w:r>
            <w:r>
              <w:rPr>
                <w:rFonts w:hint="eastAsia" w:asciiTheme="minorEastAsia" w:hAnsiTheme="minorEastAsia" w:eastAsiaTheme="minorEastAsia" w:cstheme="minorEastAsia"/>
                <w:szCs w:val="24"/>
              </w:rPr>
              <w:t>相关的内外部因素的变化，顾客满意和相关方的反馈，目标的实现情况，监视和测量结果，内部审核结果，外部供方的绩效，资源的充分性，应对风险和机遇所采取的措施，重要环境因素，</w:t>
            </w:r>
            <w:r>
              <w:rPr>
                <w:rFonts w:hint="eastAsia" w:asciiTheme="minorEastAsia" w:hAnsiTheme="minorEastAsia" w:eastAsiaTheme="minorEastAsia" w:cstheme="minorEastAsia"/>
                <w:szCs w:val="24"/>
                <w:lang w:eastAsia="zh-CN"/>
              </w:rPr>
              <w:t>重大危险源</w:t>
            </w:r>
            <w:r>
              <w:rPr>
                <w:rFonts w:hint="eastAsia" w:asciiTheme="minorEastAsia" w:hAnsiTheme="minorEastAsia" w:eastAsiaTheme="minorEastAsia" w:cstheme="minorEastAsia"/>
                <w:szCs w:val="24"/>
              </w:rPr>
              <w:t>，合规义务履行情况，事件调查、纠正和预防措施，改进的机会等。管理评审的输入基本充分。查到各部门汇报</w:t>
            </w:r>
            <w:r>
              <w:rPr>
                <w:rFonts w:hint="eastAsia" w:asciiTheme="minorEastAsia" w:hAnsiTheme="minorEastAsia" w:eastAsiaTheme="minorEastAsia" w:cstheme="minorEastAsia"/>
                <w:szCs w:val="24"/>
                <w:lang w:val="en-US" w:eastAsia="zh-CN"/>
              </w:rPr>
              <w:t>输入</w:t>
            </w:r>
            <w:r>
              <w:rPr>
                <w:rFonts w:hint="eastAsia" w:asciiTheme="minorEastAsia" w:hAnsiTheme="minorEastAsia" w:eastAsiaTheme="minorEastAsia" w:cstheme="minorEastAsia"/>
                <w:szCs w:val="24"/>
              </w:rPr>
              <w:t>材料，有参加人员签到表。</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管理评审输出：</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查看了总经理</w:t>
            </w:r>
            <w:r>
              <w:rPr>
                <w:rFonts w:hint="eastAsia" w:asciiTheme="minorEastAsia" w:hAnsiTheme="minorEastAsia" w:eastAsiaTheme="minorEastAsia" w:cstheme="minorEastAsia"/>
                <w:szCs w:val="24"/>
                <w:lang w:eastAsia="zh-CN"/>
              </w:rPr>
              <w:t>陈建阳</w:t>
            </w:r>
            <w:r>
              <w:rPr>
                <w:rFonts w:hint="eastAsia" w:asciiTheme="minorEastAsia" w:hAnsiTheme="minorEastAsia" w:eastAsiaTheme="minorEastAsia" w:cstheme="minorEastAsia"/>
                <w:szCs w:val="24"/>
              </w:rPr>
              <w:t>批准的“管理评审报告”，对公司体系文件的符合性，国家、地方及行业相关法规、标准的执行情况，风险和机遇的应对情况，产品质量情况，内审实施情况、相关方投诉情况、管理目标完成情况、管理体系的适宜性、有效性、充分性做出了评价。评审结论：公司的管理体系是适宜、充分和有效的，达到了顾客满意和持续改进的目的。</w:t>
            </w:r>
          </w:p>
          <w:p>
            <w:pPr>
              <w:spacing w:line="360" w:lineRule="auto"/>
              <w:ind w:right="-334" w:rightChars="-159"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提出了</w:t>
            </w:r>
            <w:r>
              <w:rPr>
                <w:rFonts w:hint="eastAsia" w:asciiTheme="minorEastAsia" w:hAnsiTheme="minorEastAsia" w:eastAsiaTheme="minorEastAsia" w:cstheme="minorEastAsia"/>
                <w:szCs w:val="24"/>
                <w:lang w:val="en-US" w:eastAsia="zh-CN"/>
              </w:rPr>
              <w:t>1</w:t>
            </w:r>
            <w:r>
              <w:rPr>
                <w:rFonts w:hint="eastAsia" w:asciiTheme="minorEastAsia" w:hAnsiTheme="minorEastAsia" w:eastAsiaTheme="minorEastAsia" w:cstheme="minorEastAsia"/>
                <w:szCs w:val="24"/>
              </w:rPr>
              <w:t xml:space="preserve">项改进措施: </w:t>
            </w:r>
            <w:r>
              <w:rPr>
                <w:rFonts w:hint="eastAsia" w:asciiTheme="minorEastAsia" w:hAnsiTheme="minorEastAsia" w:eastAsiaTheme="minorEastAsia" w:cstheme="minorEastAsia"/>
                <w:szCs w:val="24"/>
                <w:lang w:eastAsia="zh-CN"/>
              </w:rPr>
              <w:t>综合部</w:t>
            </w:r>
            <w:r>
              <w:rPr>
                <w:rFonts w:hint="eastAsia" w:asciiTheme="minorEastAsia" w:hAnsiTheme="minorEastAsia" w:eastAsiaTheme="minorEastAsia" w:cstheme="minorEastAsia"/>
                <w:szCs w:val="24"/>
              </w:rPr>
              <w:t>组织</w:t>
            </w:r>
            <w:r>
              <w:rPr>
                <w:rFonts w:hint="eastAsia" w:asciiTheme="minorEastAsia" w:hAnsiTheme="minorEastAsia" w:eastAsiaTheme="minorEastAsia" w:cstheme="minorEastAsia"/>
                <w:szCs w:val="24"/>
                <w:lang w:val="en-US" w:eastAsia="zh-CN"/>
              </w:rPr>
              <w:t>进一步加强对风险的学习和运用，实施中</w:t>
            </w:r>
            <w:r>
              <w:rPr>
                <w:rFonts w:hint="eastAsia" w:asciiTheme="minorEastAsia" w:hAnsiTheme="minorEastAsia" w:eastAsiaTheme="minorEastAsia" w:cstheme="minorEastAsia"/>
                <w:szCs w:val="24"/>
              </w:rPr>
              <w:t>。</w:t>
            </w:r>
          </w:p>
          <w:p>
            <w:pPr>
              <w:spacing w:line="360" w:lineRule="auto"/>
              <w:ind w:firstLine="420" w:firstLineChars="2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szCs w:val="24"/>
              </w:rPr>
              <w:t>管理评审的策划及实施符合要求。</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vAlign w:val="top"/>
          </w:tcPr>
          <w:p>
            <w:pPr>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改进</w:t>
            </w:r>
          </w:p>
          <w:p>
            <w:pPr>
              <w:jc w:val="both"/>
              <w:rPr>
                <w:rFonts w:hint="eastAsia" w:asciiTheme="minorEastAsia" w:hAnsiTheme="minorEastAsia" w:eastAsiaTheme="minorEastAsia" w:cstheme="minorEastAsia"/>
                <w:sz w:val="24"/>
                <w:szCs w:val="24"/>
              </w:rPr>
            </w:pPr>
          </w:p>
        </w:tc>
        <w:tc>
          <w:tcPr>
            <w:tcW w:w="1019" w:type="dxa"/>
            <w:vAlign w:val="top"/>
          </w:tcPr>
          <w:p>
            <w:pPr>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Q/E/</w:t>
            </w:r>
            <w:r>
              <w:rPr>
                <w:rFonts w:hint="eastAsia" w:asciiTheme="minorEastAsia" w:hAnsiTheme="minorEastAsia" w:eastAsiaTheme="minorEastAsia" w:cstheme="minorEastAsia"/>
                <w:szCs w:val="24"/>
                <w:lang w:eastAsia="zh-CN"/>
              </w:rPr>
              <w:t>O</w:t>
            </w:r>
            <w:r>
              <w:rPr>
                <w:rFonts w:hint="eastAsia" w:asciiTheme="minorEastAsia" w:hAnsiTheme="minorEastAsia" w:eastAsiaTheme="minorEastAsia" w:cstheme="minorEastAsia"/>
                <w:szCs w:val="24"/>
              </w:rPr>
              <w:t>：10.1</w:t>
            </w: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szCs w:val="24"/>
              </w:rPr>
              <w:t>10.3</w:t>
            </w:r>
          </w:p>
          <w:p>
            <w:pPr>
              <w:jc w:val="both"/>
              <w:rPr>
                <w:rFonts w:hint="eastAsia" w:asciiTheme="minorEastAsia" w:hAnsiTheme="minorEastAsia" w:eastAsiaTheme="minorEastAsia" w:cstheme="minorEastAsia"/>
                <w:color w:val="000000"/>
                <w:sz w:val="21"/>
                <w:szCs w:val="21"/>
              </w:rPr>
            </w:pPr>
          </w:p>
        </w:tc>
        <w:tc>
          <w:tcPr>
            <w:tcW w:w="11223" w:type="dxa"/>
            <w:vAlign w:val="center"/>
          </w:tcPr>
          <w:p>
            <w:pPr>
              <w:snapToGrid w:val="0"/>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color w:val="000000"/>
                <w:szCs w:val="24"/>
              </w:rPr>
              <w:t>管理者代表根据总经理意图组织持续改进过程的策划工作，由</w:t>
            </w:r>
            <w:r>
              <w:rPr>
                <w:rFonts w:hint="eastAsia" w:asciiTheme="minorEastAsia" w:hAnsiTheme="minorEastAsia" w:eastAsiaTheme="minorEastAsia" w:cstheme="minorEastAsia"/>
                <w:color w:val="000000"/>
                <w:szCs w:val="24"/>
                <w:lang w:eastAsia="zh-CN"/>
              </w:rPr>
              <w:t>综合部</w:t>
            </w:r>
            <w:r>
              <w:rPr>
                <w:rFonts w:hint="eastAsia" w:asciiTheme="minorEastAsia" w:hAnsiTheme="minorEastAsia" w:eastAsiaTheme="minorEastAsia" w:cstheme="minorEastAsia"/>
                <w:color w:val="000000"/>
                <w:szCs w:val="24"/>
              </w:rPr>
              <w:t>实施持续改进过程的管理。公司</w:t>
            </w:r>
            <w:r>
              <w:rPr>
                <w:rFonts w:hint="eastAsia" w:asciiTheme="minorEastAsia" w:hAnsiTheme="minorEastAsia" w:eastAsiaTheme="minorEastAsia" w:cstheme="minorEastAsia"/>
                <w:color w:val="000000"/>
                <w:szCs w:val="24"/>
                <w:lang w:val="en-US" w:eastAsia="zh-CN"/>
              </w:rPr>
              <w:t>管理</w:t>
            </w:r>
            <w:r>
              <w:rPr>
                <w:rFonts w:hint="eastAsia" w:asciiTheme="minorEastAsia" w:hAnsiTheme="minorEastAsia" w:eastAsiaTheme="minorEastAsia" w:cstheme="minorEastAsia"/>
                <w:color w:val="000000"/>
                <w:szCs w:val="24"/>
              </w:rPr>
              <w:t>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安全意识有较大的提高，持续改进了管理体系的有效性。</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Cs w:val="24"/>
              </w:rPr>
              <w:t>自体系运行以来，全员的质量意识、服务意识、环保意识有较大的提高，市场经营规模有了较大发展，持续改进了质量管理体系的有效性。</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07" w:type="dxa"/>
            <w:vAlign w:val="top"/>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Cs w:val="24"/>
              </w:rPr>
              <w:t>国家/地方抽查、顾客满意、相关方投诉处理</w:t>
            </w:r>
          </w:p>
        </w:tc>
        <w:tc>
          <w:tcPr>
            <w:tcW w:w="1019" w:type="dxa"/>
            <w:vAlign w:val="top"/>
          </w:tcPr>
          <w:p>
            <w:pPr>
              <w:jc w:val="both"/>
              <w:rPr>
                <w:rFonts w:hint="eastAsia" w:asciiTheme="minorEastAsia" w:hAnsiTheme="minorEastAsia" w:eastAsiaTheme="minorEastAsia" w:cstheme="minorEastAsia"/>
                <w:color w:val="000000"/>
                <w:sz w:val="21"/>
                <w:szCs w:val="21"/>
              </w:rPr>
            </w:pPr>
          </w:p>
        </w:tc>
        <w:tc>
          <w:tcPr>
            <w:tcW w:w="11223" w:type="dxa"/>
            <w:vAlign w:val="top"/>
          </w:tcPr>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自公司成立以来，未受到上级主管部门有关质量、环境、职业健康安全的行政处罚。未发生相关方的投诉。</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暂时没有国家/地方抽查情况。</w:t>
            </w:r>
          </w:p>
          <w:p>
            <w:pPr>
              <w:snapToGrid w:val="0"/>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Cs w:val="24"/>
              </w:rPr>
              <w:t>目前没有相关行政主管部门的检查处罚，在审核现场也未发现抽查、相关方投诉等情况。</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07" w:type="dxa"/>
            <w:vAlign w:val="top"/>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Cs w:val="24"/>
              </w:rPr>
              <w:t>验证资质</w:t>
            </w:r>
          </w:p>
        </w:tc>
        <w:tc>
          <w:tcPr>
            <w:tcW w:w="1019" w:type="dxa"/>
            <w:vAlign w:val="top"/>
          </w:tcPr>
          <w:p>
            <w:pPr>
              <w:jc w:val="both"/>
              <w:rPr>
                <w:rFonts w:hint="eastAsia" w:asciiTheme="minorEastAsia" w:hAnsiTheme="minorEastAsia" w:eastAsiaTheme="minorEastAsia" w:cstheme="minorEastAsia"/>
                <w:color w:val="000000"/>
                <w:sz w:val="21"/>
                <w:szCs w:val="21"/>
              </w:rPr>
            </w:pPr>
          </w:p>
        </w:tc>
        <w:tc>
          <w:tcPr>
            <w:tcW w:w="11223" w:type="dxa"/>
            <w:vAlign w:val="top"/>
          </w:tcPr>
          <w:p>
            <w:pPr>
              <w:spacing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Cs w:val="24"/>
              </w:rPr>
              <w:t>提供了组织营业执照均为有效</w:t>
            </w: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szCs w:val="24"/>
                <w:lang w:val="en-US" w:eastAsia="zh-CN"/>
              </w:rPr>
              <w:t>编号：91350521081644050T，有效期至：2063年11月19日</w:t>
            </w:r>
            <w:r>
              <w:rPr>
                <w:rFonts w:hint="eastAsia" w:asciiTheme="minorEastAsia" w:hAnsiTheme="minorEastAsia" w:eastAsiaTheme="minorEastAsia" w:cstheme="minorEastAsia"/>
                <w:szCs w:val="24"/>
              </w:rPr>
              <w:t>。</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707" w:type="dxa"/>
            <w:vAlign w:val="top"/>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Cs w:val="24"/>
                <w:lang w:val="en-US" w:eastAsia="zh-CN"/>
              </w:rPr>
              <w:t>初次审核</w:t>
            </w:r>
            <w:r>
              <w:rPr>
                <w:rFonts w:hint="eastAsia" w:asciiTheme="minorEastAsia" w:hAnsiTheme="minorEastAsia" w:eastAsiaTheme="minorEastAsia" w:cstheme="minorEastAsia"/>
                <w:szCs w:val="24"/>
              </w:rPr>
              <w:t>问题验证</w:t>
            </w:r>
          </w:p>
        </w:tc>
        <w:tc>
          <w:tcPr>
            <w:tcW w:w="1019" w:type="dxa"/>
            <w:vAlign w:val="top"/>
          </w:tcPr>
          <w:p>
            <w:pPr>
              <w:jc w:val="both"/>
              <w:rPr>
                <w:rFonts w:hint="eastAsia" w:asciiTheme="minorEastAsia" w:hAnsiTheme="minorEastAsia" w:eastAsiaTheme="minorEastAsia" w:cstheme="minorEastAsia"/>
                <w:sz w:val="24"/>
                <w:szCs w:val="24"/>
              </w:rPr>
            </w:pPr>
          </w:p>
        </w:tc>
        <w:tc>
          <w:tcPr>
            <w:tcW w:w="11223" w:type="dxa"/>
            <w:vAlign w:val="top"/>
          </w:tcPr>
          <w:p>
            <w:pPr>
              <w:spacing w:line="360" w:lineRule="auto"/>
              <w:ind w:firstLine="420" w:firstLineChars="200"/>
              <w:rPr>
                <w:rFonts w:hint="default"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szCs w:val="24"/>
                <w:lang w:val="en-US" w:eastAsia="zh-CN"/>
              </w:rPr>
              <w:t>验证初审不符合项EO8.1条款，现场验证已整改，整改有效</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Theme="minorEastAsia" w:hAnsiTheme="minorEastAsia" w:eastAsiaTheme="minorEastAsia" w:cstheme="minorEastAsia"/>
                <w:szCs w:val="24"/>
              </w:rPr>
            </w:pPr>
            <w:r>
              <w:rPr>
                <w:rFonts w:hint="eastAsia" w:ascii="宋体" w:hAnsi="宋体" w:eastAsia="宋体"/>
                <w:sz w:val="21"/>
                <w:szCs w:val="21"/>
                <w:lang w:val="en-US" w:eastAsia="zh-CN"/>
              </w:rPr>
              <w:t>职业健康安全代表</w:t>
            </w:r>
          </w:p>
        </w:tc>
        <w:tc>
          <w:tcPr>
            <w:tcW w:w="1019"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Theme="minorEastAsia" w:hAnsiTheme="minorEastAsia" w:eastAsiaTheme="minorEastAsia" w:cstheme="minorEastAsia"/>
                <w:sz w:val="24"/>
                <w:szCs w:val="24"/>
              </w:rPr>
            </w:pPr>
          </w:p>
        </w:tc>
        <w:tc>
          <w:tcPr>
            <w:tcW w:w="11223" w:type="dxa"/>
            <w:vAlign w:val="center"/>
          </w:tcPr>
          <w:p>
            <w:pPr>
              <w:tabs>
                <w:tab w:val="left" w:pos="9720"/>
                <w:tab w:val="left" w:pos="9900"/>
              </w:tabs>
              <w:spacing w:line="36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公司经选举确定职业健康安全事务代表是</w:t>
            </w:r>
            <w:r>
              <w:rPr>
                <w:rFonts w:hint="eastAsia" w:asciiTheme="minorEastAsia" w:hAnsiTheme="minorEastAsia" w:eastAsiaTheme="minorEastAsia" w:cstheme="minorEastAsia"/>
                <w:sz w:val="21"/>
                <w:szCs w:val="21"/>
                <w:lang w:eastAsia="zh-CN"/>
              </w:rPr>
              <w:t>陈建辉</w:t>
            </w:r>
            <w:r>
              <w:rPr>
                <w:rFonts w:hint="eastAsia" w:asciiTheme="minorEastAsia" w:hAnsiTheme="minorEastAsia" w:eastAsiaTheme="minorEastAsia" w:cstheme="minorEastAsia"/>
                <w:sz w:val="21"/>
                <w:szCs w:val="21"/>
              </w:rPr>
              <w:t>，</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a）负责职工代表大会的日常工作，检查、督促职工代表大会决议的执行；</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b）负责召开讨论有关工资、福利、劳动安全卫生、社会保险等涉及职工切身利益的会议，代表员工反映员工的建议和意见；</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c）接收、处理外部职业健康安全信息；</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d）交流各级职能部门间产生的职业健康安全信息；</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e）收集、处理和反馈员工所关心的职业健康安全问题；</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f）参与职业健康安全工作方针和程序的制定、评审和实施；</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g）参与影响作业场所人员职业健康安全的任何变化的讨论。</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 w:val="21"/>
                <w:szCs w:val="21"/>
              </w:rPr>
              <w:t>由于公司福利待遇正常发放，员工无抱怨，目前信息交流机制畅通。</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bl>
    <w:p>
      <w:pPr>
        <w:pStyle w:val="5"/>
        <w:rPr>
          <w:rFonts w:hint="eastAsia"/>
        </w:rPr>
      </w:pPr>
      <w:r>
        <w:rPr>
          <w:rFonts w:hint="eastAsia"/>
        </w:rPr>
        <w:t>说明：不符合标注N</w:t>
      </w: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019"/>
        <w:gridCol w:w="11223"/>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过程与活动、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抽样计划</w:t>
            </w:r>
          </w:p>
        </w:tc>
        <w:tc>
          <w:tcPr>
            <w:tcW w:w="101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涉及</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条款</w:t>
            </w:r>
          </w:p>
        </w:tc>
        <w:tc>
          <w:tcPr>
            <w:tcW w:w="1122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lang w:val="en-US"/>
              </w:rPr>
            </w:pPr>
            <w:r>
              <w:rPr>
                <w:rFonts w:hint="eastAsia" w:ascii="宋体" w:hAnsi="宋体" w:eastAsia="宋体" w:cs="宋体"/>
                <w:sz w:val="24"/>
                <w:szCs w:val="24"/>
              </w:rPr>
              <w:t>受审核部门：</w:t>
            </w:r>
            <w:r>
              <w:rPr>
                <w:rFonts w:hint="eastAsia" w:ascii="宋体" w:hAnsi="宋体" w:cs="宋体"/>
                <w:b/>
                <w:bCs/>
                <w:sz w:val="24"/>
                <w:szCs w:val="24"/>
                <w:lang w:val="en-US" w:eastAsia="zh-CN"/>
              </w:rPr>
              <w:t>综合部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主管领导/陪同人员</w:t>
            </w:r>
            <w:r>
              <w:rPr>
                <w:rFonts w:hint="eastAsia" w:ascii="宋体" w:hAnsi="宋体" w:eastAsia="宋体" w:cs="宋体"/>
                <w:sz w:val="24"/>
                <w:szCs w:val="24"/>
                <w:lang w:eastAsia="zh-CN"/>
              </w:rPr>
              <w:t>：</w:t>
            </w:r>
            <w:r>
              <w:rPr>
                <w:rFonts w:hint="eastAsia" w:ascii="宋体" w:hAnsi="宋体" w:cs="宋体"/>
                <w:sz w:val="24"/>
                <w:szCs w:val="24"/>
                <w:lang w:val="en-US" w:eastAsia="zh-CN"/>
              </w:rPr>
              <w:t>林森泉</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陈建辉</w:t>
            </w:r>
          </w:p>
        </w:tc>
        <w:tc>
          <w:tcPr>
            <w:tcW w:w="76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170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01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122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default" w:ascii="宋体" w:hAnsi="宋体" w:eastAsia="宋体" w:cs="宋体"/>
                <w:sz w:val="24"/>
                <w:szCs w:val="24"/>
                <w:lang w:val="en-US"/>
              </w:rPr>
            </w:pPr>
            <w:r>
              <w:rPr>
                <w:rFonts w:hint="eastAsia" w:ascii="宋体" w:hAnsi="宋体" w:eastAsia="宋体" w:cs="宋体"/>
                <w:sz w:val="24"/>
                <w:szCs w:val="24"/>
              </w:rPr>
              <w:t>审核员：</w:t>
            </w:r>
            <w:r>
              <w:rPr>
                <w:rFonts w:hint="eastAsia" w:ascii="宋体" w:hAnsi="宋体" w:cs="宋体"/>
                <w:sz w:val="24"/>
                <w:szCs w:val="24"/>
                <w:lang w:val="en-US" w:eastAsia="zh-CN"/>
              </w:rPr>
              <w:t>张磊</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审核时间：</w:t>
            </w:r>
            <w:r>
              <w:rPr>
                <w:rFonts w:hint="eastAsia" w:ascii="宋体" w:hAnsi="宋体" w:eastAsia="宋体" w:cs="宋体"/>
                <w:sz w:val="24"/>
                <w:szCs w:val="24"/>
                <w:lang w:val="en-US" w:eastAsia="zh-CN"/>
              </w:rPr>
              <w:t>20</w:t>
            </w:r>
            <w:r>
              <w:rPr>
                <w:rFonts w:hint="eastAsia" w:ascii="宋体" w:hAnsi="宋体" w:cs="宋体"/>
                <w:sz w:val="24"/>
                <w:szCs w:val="24"/>
                <w:lang w:val="en-US" w:eastAsia="zh-CN"/>
              </w:rPr>
              <w:t>20</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12</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14</w:t>
            </w:r>
          </w:p>
        </w:tc>
        <w:tc>
          <w:tcPr>
            <w:tcW w:w="760"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170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01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1223" w:type="dxa"/>
            <w:vAlign w:val="center"/>
          </w:tcPr>
          <w:p>
            <w:pPr>
              <w:snapToGrid w:val="0"/>
              <w:spacing w:line="260" w:lineRule="exact"/>
              <w:rPr>
                <w:rFonts w:hint="eastAsia" w:ascii="宋体" w:hAnsi="宋体" w:eastAsia="宋体" w:cs="宋体"/>
                <w:sz w:val="24"/>
                <w:szCs w:val="24"/>
              </w:rPr>
            </w:pPr>
            <w:r>
              <w:rPr>
                <w:rFonts w:hint="eastAsia" w:ascii="宋体" w:hAnsi="宋体" w:cs="宋体"/>
                <w:sz w:val="21"/>
                <w:szCs w:val="21"/>
              </w:rPr>
              <w:t>涉及标准条款：</w:t>
            </w:r>
            <w:r>
              <w:rPr>
                <w:rFonts w:ascii="宋体" w:hAnsi="宋体" w:cs="宋体"/>
                <w:sz w:val="21"/>
                <w:szCs w:val="21"/>
              </w:rPr>
              <w:t>Q</w:t>
            </w:r>
            <w:r>
              <w:rPr>
                <w:rFonts w:hint="eastAsia" w:ascii="宋体" w:hAnsi="宋体" w:cs="宋体"/>
                <w:sz w:val="21"/>
                <w:szCs w:val="21"/>
              </w:rPr>
              <w:t>:</w:t>
            </w:r>
            <w:r>
              <w:rPr>
                <w:rFonts w:ascii="宋体" w:hAnsi="宋体" w:cs="宋体"/>
                <w:sz w:val="21"/>
                <w:szCs w:val="21"/>
              </w:rPr>
              <w:t>5.3</w:t>
            </w:r>
            <w:r>
              <w:rPr>
                <w:rFonts w:hint="eastAsia" w:ascii="宋体" w:hAnsi="宋体" w:cs="宋体"/>
                <w:sz w:val="21"/>
                <w:szCs w:val="21"/>
              </w:rPr>
              <w:t>/</w:t>
            </w:r>
            <w:r>
              <w:rPr>
                <w:rFonts w:ascii="宋体" w:hAnsi="宋体" w:cs="宋体"/>
                <w:sz w:val="21"/>
                <w:szCs w:val="21"/>
              </w:rPr>
              <w:t>6.2</w:t>
            </w:r>
            <w:r>
              <w:rPr>
                <w:rFonts w:hint="eastAsia" w:ascii="宋体" w:hAnsi="宋体" w:cs="宋体"/>
                <w:sz w:val="21"/>
                <w:szCs w:val="21"/>
              </w:rPr>
              <w:t>/</w:t>
            </w:r>
            <w:r>
              <w:rPr>
                <w:rFonts w:ascii="宋体" w:hAnsi="宋体" w:cs="宋体"/>
                <w:sz w:val="21"/>
                <w:szCs w:val="21"/>
              </w:rPr>
              <w:t>7.1.2</w:t>
            </w:r>
            <w:r>
              <w:rPr>
                <w:rFonts w:hint="eastAsia" w:ascii="宋体" w:hAnsi="宋体" w:cs="宋体"/>
                <w:sz w:val="21"/>
                <w:szCs w:val="21"/>
              </w:rPr>
              <w:t>/</w:t>
            </w:r>
            <w:r>
              <w:rPr>
                <w:rFonts w:ascii="宋体" w:hAnsi="宋体" w:cs="宋体"/>
                <w:sz w:val="21"/>
                <w:szCs w:val="21"/>
              </w:rPr>
              <w:t>7.1.6</w:t>
            </w:r>
            <w:r>
              <w:rPr>
                <w:rFonts w:hint="eastAsia" w:ascii="宋体" w:hAnsi="宋体" w:cs="宋体"/>
                <w:sz w:val="21"/>
                <w:szCs w:val="21"/>
              </w:rPr>
              <w:t>/</w:t>
            </w:r>
            <w:r>
              <w:rPr>
                <w:rFonts w:ascii="宋体" w:hAnsi="宋体" w:cs="宋体"/>
                <w:sz w:val="21"/>
                <w:szCs w:val="21"/>
              </w:rPr>
              <w:t>7.2</w:t>
            </w:r>
            <w:r>
              <w:rPr>
                <w:rFonts w:hint="eastAsia" w:ascii="宋体" w:hAnsi="宋体" w:cs="宋体"/>
                <w:sz w:val="21"/>
                <w:szCs w:val="21"/>
              </w:rPr>
              <w:t>/</w:t>
            </w:r>
            <w:r>
              <w:rPr>
                <w:rFonts w:ascii="宋体" w:hAnsi="宋体" w:cs="宋体"/>
                <w:sz w:val="21"/>
                <w:szCs w:val="21"/>
              </w:rPr>
              <w:t>7.3</w:t>
            </w:r>
            <w:r>
              <w:rPr>
                <w:rFonts w:hint="eastAsia" w:ascii="宋体" w:hAnsi="宋体" w:cs="宋体"/>
                <w:sz w:val="21"/>
                <w:szCs w:val="21"/>
              </w:rPr>
              <w:t>/</w:t>
            </w:r>
            <w:r>
              <w:rPr>
                <w:rFonts w:ascii="宋体" w:hAnsi="宋体" w:cs="宋体"/>
                <w:sz w:val="21"/>
                <w:szCs w:val="21"/>
              </w:rPr>
              <w:t>7.4</w:t>
            </w:r>
            <w:r>
              <w:rPr>
                <w:rFonts w:hint="eastAsia" w:ascii="宋体" w:hAnsi="宋体" w:cs="宋体"/>
                <w:sz w:val="21"/>
                <w:szCs w:val="21"/>
              </w:rPr>
              <w:t>/</w:t>
            </w:r>
            <w:r>
              <w:rPr>
                <w:rFonts w:ascii="宋体" w:hAnsi="宋体" w:cs="宋体"/>
                <w:sz w:val="21"/>
                <w:szCs w:val="21"/>
              </w:rPr>
              <w:t>7.5</w:t>
            </w:r>
            <w:r>
              <w:rPr>
                <w:rFonts w:hint="eastAsia" w:ascii="宋体" w:hAnsi="宋体" w:cs="宋体"/>
                <w:sz w:val="21"/>
                <w:szCs w:val="21"/>
              </w:rPr>
              <w:t>/</w:t>
            </w:r>
            <w:r>
              <w:rPr>
                <w:rFonts w:ascii="宋体" w:hAnsi="宋体" w:cs="宋体"/>
                <w:sz w:val="21"/>
                <w:szCs w:val="21"/>
              </w:rPr>
              <w:t>9.1.3</w:t>
            </w:r>
            <w:r>
              <w:rPr>
                <w:rFonts w:hint="eastAsia" w:ascii="宋体" w:hAnsi="宋体" w:cs="宋体"/>
                <w:sz w:val="21"/>
                <w:szCs w:val="21"/>
              </w:rPr>
              <w:t>/</w:t>
            </w:r>
            <w:r>
              <w:rPr>
                <w:rFonts w:ascii="宋体" w:hAnsi="宋体" w:cs="宋体"/>
                <w:sz w:val="21"/>
                <w:szCs w:val="21"/>
              </w:rPr>
              <w:t>9.2</w:t>
            </w:r>
            <w:r>
              <w:rPr>
                <w:rFonts w:hint="eastAsia" w:ascii="宋体" w:hAnsi="宋体" w:cs="宋体"/>
                <w:sz w:val="21"/>
                <w:szCs w:val="21"/>
              </w:rPr>
              <w:t>/10.2</w:t>
            </w:r>
            <w:r>
              <w:rPr>
                <w:rFonts w:ascii="宋体" w:hAnsi="宋体" w:cs="宋体"/>
                <w:sz w:val="21"/>
                <w:szCs w:val="21"/>
              </w:rPr>
              <w:br w:type="textWrapping"/>
            </w:r>
            <w:r>
              <w:rPr>
                <w:rFonts w:ascii="宋体" w:hAnsi="宋体" w:cs="宋体"/>
                <w:sz w:val="21"/>
                <w:szCs w:val="21"/>
              </w:rPr>
              <w:t>E</w:t>
            </w:r>
            <w:r>
              <w:rPr>
                <w:rFonts w:hint="eastAsia" w:ascii="宋体" w:hAnsi="宋体" w:cs="宋体"/>
                <w:sz w:val="21"/>
                <w:szCs w:val="21"/>
                <w:lang w:val="en-US" w:eastAsia="zh-CN"/>
              </w:rPr>
              <w:t>O</w:t>
            </w:r>
            <w:r>
              <w:rPr>
                <w:rFonts w:hint="eastAsia" w:ascii="宋体" w:hAnsi="宋体" w:cs="宋体"/>
                <w:sz w:val="21"/>
                <w:szCs w:val="21"/>
              </w:rPr>
              <w:t>:</w:t>
            </w:r>
            <w:r>
              <w:rPr>
                <w:rFonts w:ascii="宋体" w:hAnsi="宋体" w:cs="宋体"/>
                <w:sz w:val="21"/>
                <w:szCs w:val="21"/>
              </w:rPr>
              <w:t>5.3</w:t>
            </w:r>
            <w:r>
              <w:rPr>
                <w:rFonts w:hint="eastAsia" w:ascii="宋体" w:hAnsi="宋体" w:cs="宋体"/>
                <w:sz w:val="21"/>
                <w:szCs w:val="21"/>
              </w:rPr>
              <w:t>/</w:t>
            </w:r>
            <w:r>
              <w:rPr>
                <w:rFonts w:ascii="宋体" w:hAnsi="宋体" w:cs="宋体"/>
                <w:sz w:val="21"/>
                <w:szCs w:val="21"/>
              </w:rPr>
              <w:t>6.1.2</w:t>
            </w:r>
            <w:r>
              <w:rPr>
                <w:rFonts w:hint="eastAsia" w:ascii="宋体" w:hAnsi="宋体" w:cs="宋体"/>
                <w:sz w:val="21"/>
                <w:szCs w:val="21"/>
              </w:rPr>
              <w:t>/</w:t>
            </w:r>
            <w:r>
              <w:rPr>
                <w:rFonts w:ascii="宋体" w:hAnsi="宋体" w:cs="宋体"/>
                <w:sz w:val="21"/>
                <w:szCs w:val="21"/>
              </w:rPr>
              <w:t>6.2</w:t>
            </w:r>
            <w:r>
              <w:rPr>
                <w:rFonts w:hint="eastAsia" w:ascii="宋体" w:hAnsi="宋体" w:cs="宋体"/>
                <w:sz w:val="21"/>
                <w:szCs w:val="21"/>
              </w:rPr>
              <w:t>/</w:t>
            </w:r>
            <w:r>
              <w:rPr>
                <w:rFonts w:ascii="宋体" w:hAnsi="宋体" w:cs="宋体"/>
                <w:sz w:val="21"/>
                <w:szCs w:val="21"/>
              </w:rPr>
              <w:t>7.2</w:t>
            </w:r>
            <w:r>
              <w:rPr>
                <w:rFonts w:hint="eastAsia" w:ascii="宋体" w:hAnsi="宋体" w:cs="宋体"/>
                <w:sz w:val="21"/>
                <w:szCs w:val="21"/>
              </w:rPr>
              <w:t>/</w:t>
            </w:r>
            <w:r>
              <w:rPr>
                <w:rFonts w:ascii="宋体" w:hAnsi="宋体" w:cs="宋体"/>
                <w:sz w:val="21"/>
                <w:szCs w:val="21"/>
              </w:rPr>
              <w:t>7.3</w:t>
            </w:r>
            <w:r>
              <w:rPr>
                <w:rFonts w:hint="eastAsia" w:ascii="宋体" w:hAnsi="宋体" w:cs="宋体"/>
                <w:sz w:val="21"/>
                <w:szCs w:val="21"/>
              </w:rPr>
              <w:t>/</w:t>
            </w:r>
            <w:r>
              <w:rPr>
                <w:rFonts w:ascii="宋体" w:hAnsi="宋体" w:cs="宋体"/>
                <w:sz w:val="21"/>
                <w:szCs w:val="21"/>
              </w:rPr>
              <w:t>7.4</w:t>
            </w:r>
            <w:r>
              <w:rPr>
                <w:rFonts w:hint="eastAsia" w:ascii="宋体" w:hAnsi="宋体" w:cs="宋体"/>
                <w:sz w:val="21"/>
                <w:szCs w:val="21"/>
                <w:lang w:val="en-US" w:eastAsia="zh-CN"/>
              </w:rPr>
              <w:t>(O5.4)</w:t>
            </w:r>
            <w:r>
              <w:rPr>
                <w:rFonts w:hint="eastAsia" w:ascii="宋体" w:hAnsi="宋体" w:cs="宋体"/>
                <w:sz w:val="21"/>
                <w:szCs w:val="21"/>
              </w:rPr>
              <w:t>/</w:t>
            </w:r>
            <w:r>
              <w:rPr>
                <w:rFonts w:ascii="宋体" w:hAnsi="宋体" w:cs="宋体"/>
                <w:sz w:val="21"/>
                <w:szCs w:val="21"/>
              </w:rPr>
              <w:t>7.5</w:t>
            </w:r>
            <w:r>
              <w:rPr>
                <w:rFonts w:hint="eastAsia" w:ascii="宋体" w:hAnsi="宋体" w:cs="宋体"/>
                <w:sz w:val="21"/>
                <w:szCs w:val="21"/>
              </w:rPr>
              <w:t>/</w:t>
            </w:r>
            <w:r>
              <w:rPr>
                <w:rFonts w:ascii="宋体" w:hAnsi="宋体" w:cs="宋体"/>
                <w:sz w:val="21"/>
                <w:szCs w:val="21"/>
              </w:rPr>
              <w:t>8.1</w:t>
            </w:r>
            <w:r>
              <w:rPr>
                <w:rFonts w:hint="eastAsia" w:ascii="宋体" w:hAnsi="宋体" w:cs="宋体"/>
                <w:sz w:val="21"/>
                <w:szCs w:val="21"/>
              </w:rPr>
              <w:t>/8.2/</w:t>
            </w:r>
            <w:r>
              <w:rPr>
                <w:rFonts w:ascii="宋体" w:hAnsi="宋体" w:cs="宋体"/>
                <w:sz w:val="21"/>
                <w:szCs w:val="21"/>
              </w:rPr>
              <w:t>9.2</w:t>
            </w:r>
            <w:r>
              <w:rPr>
                <w:rFonts w:hint="eastAsia" w:ascii="宋体" w:hAnsi="宋体" w:cs="宋体"/>
                <w:sz w:val="21"/>
                <w:szCs w:val="21"/>
              </w:rPr>
              <w:t>/10.2</w:t>
            </w:r>
            <w:r>
              <w:rPr>
                <w:rFonts w:hint="eastAsia" w:ascii="宋体" w:hAnsi="宋体" w:cs="宋体"/>
                <w:sz w:val="21"/>
                <w:szCs w:val="21"/>
                <w:lang w:val="en-US" w:eastAsia="zh-CN"/>
              </w:rPr>
              <w:t>/</w:t>
            </w:r>
            <w:r>
              <w:rPr>
                <w:rFonts w:hint="eastAsia" w:asciiTheme="minorEastAsia" w:hAnsiTheme="minorEastAsia" w:eastAsiaTheme="minorEastAsia" w:cstheme="minorEastAsia"/>
                <w:sz w:val="21"/>
                <w:szCs w:val="21"/>
              </w:rPr>
              <w:t>6.1.2</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6.1.3</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9.1.1</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9.1.2</w:t>
            </w:r>
          </w:p>
        </w:tc>
        <w:tc>
          <w:tcPr>
            <w:tcW w:w="760"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707"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组织的岗位、职责、和权限</w:t>
            </w:r>
          </w:p>
        </w:tc>
        <w:tc>
          <w:tcPr>
            <w:tcW w:w="1019"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 xml:space="preserve">：5.3  </w:t>
            </w:r>
          </w:p>
        </w:tc>
        <w:tc>
          <w:tcPr>
            <w:tcW w:w="11223" w:type="dxa"/>
            <w:vAlign w:val="center"/>
          </w:tcPr>
          <w:p>
            <w:pPr>
              <w:spacing w:before="224" w:beforeLines="69"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公司编制的管理手册中确定了组织机构图，职能分配表，并在相关章节中明确了</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所涉及各项工作的作用、职责和权限等要求。现场审核了解到，本部门主要负责：公司</w:t>
            </w:r>
            <w:r>
              <w:rPr>
                <w:rFonts w:hint="eastAsia" w:asciiTheme="minorEastAsia" w:hAnsiTheme="minorEastAsia" w:eastAsiaTheme="minorEastAsia" w:cstheme="minorEastAsia"/>
                <w:sz w:val="21"/>
                <w:szCs w:val="21"/>
                <w:lang w:eastAsia="zh-CN"/>
              </w:rPr>
              <w:t>质量、环境、职业健康安全</w:t>
            </w:r>
            <w:r>
              <w:rPr>
                <w:rFonts w:hint="eastAsia" w:asciiTheme="minorEastAsia" w:hAnsiTheme="minorEastAsia" w:eastAsiaTheme="minorEastAsia" w:cstheme="minorEastAsia"/>
                <w:sz w:val="21"/>
                <w:szCs w:val="21"/>
              </w:rPr>
              <w:t>目标方案的制定实施，人力资源配备，员工招聘、绩效考核管理；办公用品的管理，信息交流与沟通，劳动合同保险管理及员工职业健康体检；后勤事务管理；负责组织知识的识别更新传递；负责文件、记录的管理、控制；负责对环境因素和危险源进行识别控制；负责体系运行检查、内审、合规性评价，应急准备和相应控制，不符合纠正与预防，事故事件调查处理等。</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 xml:space="preserve">     部门负责人对体系要求的职责基本理解,并能按照职责要求去做，本部门的职责权限均得到了有效的落实。未发现因职责不清责任不明而造成体系运行失效的情况。</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707"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目标和方案</w:t>
            </w:r>
          </w:p>
        </w:tc>
        <w:tc>
          <w:tcPr>
            <w:tcW w:w="1019"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：6.2</w:t>
            </w:r>
          </w:p>
        </w:tc>
        <w:tc>
          <w:tcPr>
            <w:tcW w:w="11223" w:type="dxa"/>
            <w:vAlign w:val="center"/>
          </w:tcPr>
          <w:p>
            <w:pPr>
              <w:autoSpaceDE w:val="0"/>
              <w:autoSpaceDN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编制了《</w:t>
            </w:r>
            <w:r>
              <w:rPr>
                <w:rFonts w:hint="eastAsia"/>
              </w:rPr>
              <w:t>方针、目标和管理方案控制程序</w:t>
            </w:r>
            <w:r>
              <w:rPr>
                <w:rFonts w:hint="eastAsia" w:asciiTheme="minorEastAsia" w:hAnsiTheme="minorEastAsia" w:eastAsiaTheme="minorEastAsia" w:cstheme="minorEastAsia"/>
                <w:sz w:val="21"/>
                <w:szCs w:val="21"/>
              </w:rPr>
              <w:t>》</w:t>
            </w:r>
          </w:p>
          <w:p>
            <w:pPr>
              <w:tabs>
                <w:tab w:val="left" w:pos="6597"/>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查到公司制定的《2020年管理目标完成统计表》</w:t>
            </w:r>
            <w:r>
              <w:rPr>
                <w:rFonts w:hint="eastAsia" w:asciiTheme="minorEastAsia" w:hAnsiTheme="minorEastAsia" w:eastAsiaTheme="minorEastAsia" w:cstheme="minorEastAsia"/>
                <w:sz w:val="21"/>
                <w:szCs w:val="21"/>
                <w:lang w:eastAsia="zh-CN"/>
              </w:rPr>
              <w:t>、《职业健康安全管理方案》、《环境管理方案》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20</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年共有2个环境管理方案和3个职业健康安全管理方案，以上管理方案能有效针对目标。</w:t>
            </w:r>
          </w:p>
          <w:p>
            <w:pPr>
              <w:tabs>
                <w:tab w:val="left" w:pos="6597"/>
              </w:tabs>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公司综合部质量目标：</w:t>
            </w:r>
          </w:p>
          <w:p>
            <w:pPr>
              <w:tabs>
                <w:tab w:val="left" w:pos="6597"/>
              </w:tabs>
              <w:spacing w:line="360" w:lineRule="auto"/>
              <w:ind w:firstLine="420" w:firstLineChars="200"/>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文件受控率100%</w:t>
            </w:r>
            <w:r>
              <w:rPr>
                <w:rFonts w:hint="eastAsia" w:asciiTheme="minorEastAsia" w:hAnsiTheme="minorEastAsia" w:eastAsiaTheme="minorEastAsia" w:cstheme="minorEastAsia"/>
                <w:sz w:val="21"/>
                <w:szCs w:val="21"/>
                <w:lang w:val="en-US" w:eastAsia="zh-CN"/>
              </w:rPr>
              <w:t>，实际</w:t>
            </w:r>
            <w:r>
              <w:rPr>
                <w:rFonts w:hint="default" w:asciiTheme="minorEastAsia" w:hAnsiTheme="minorEastAsia" w:eastAsiaTheme="minorEastAsia" w:cstheme="minorEastAsia"/>
                <w:sz w:val="21"/>
                <w:szCs w:val="21"/>
                <w:lang w:val="en-US" w:eastAsia="zh-CN"/>
              </w:rPr>
              <w:t>100%</w:t>
            </w:r>
          </w:p>
          <w:p>
            <w:pPr>
              <w:tabs>
                <w:tab w:val="left" w:pos="6597"/>
              </w:tabs>
              <w:spacing w:line="360" w:lineRule="auto"/>
              <w:ind w:firstLine="420" w:firstLineChars="200"/>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培训完成率≥98%</w:t>
            </w:r>
            <w:r>
              <w:rPr>
                <w:rFonts w:hint="eastAsia" w:asciiTheme="minorEastAsia" w:hAnsiTheme="minorEastAsia" w:eastAsiaTheme="minorEastAsia" w:cstheme="minorEastAsia"/>
                <w:sz w:val="21"/>
                <w:szCs w:val="21"/>
                <w:lang w:val="en-US" w:eastAsia="zh-CN"/>
              </w:rPr>
              <w:t>，实际</w:t>
            </w:r>
            <w:r>
              <w:rPr>
                <w:rFonts w:hint="default" w:asciiTheme="minorEastAsia" w:hAnsiTheme="minorEastAsia" w:eastAsiaTheme="minorEastAsia" w:cstheme="minorEastAsia"/>
                <w:sz w:val="21"/>
                <w:szCs w:val="21"/>
                <w:lang w:val="en-US" w:eastAsia="zh-CN"/>
              </w:rPr>
              <w:t>100%</w:t>
            </w:r>
          </w:p>
          <w:p>
            <w:pPr>
              <w:tabs>
                <w:tab w:val="left" w:pos="6597"/>
              </w:tabs>
              <w:spacing w:line="360" w:lineRule="auto"/>
              <w:ind w:firstLine="420" w:firstLineChars="200"/>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确保环保/安全资金到位率100%</w:t>
            </w:r>
            <w:r>
              <w:rPr>
                <w:rFonts w:hint="eastAsia" w:asciiTheme="minorEastAsia" w:hAnsiTheme="minorEastAsia" w:eastAsiaTheme="minorEastAsia" w:cstheme="minorEastAsia"/>
                <w:sz w:val="21"/>
                <w:szCs w:val="21"/>
                <w:lang w:val="en-US" w:eastAsia="zh-CN"/>
              </w:rPr>
              <w:t>，实际</w:t>
            </w:r>
            <w:r>
              <w:rPr>
                <w:rFonts w:hint="default" w:asciiTheme="minorEastAsia" w:hAnsiTheme="minorEastAsia" w:eastAsiaTheme="minorEastAsia" w:cstheme="minorEastAsia"/>
                <w:sz w:val="21"/>
                <w:szCs w:val="21"/>
                <w:lang w:val="en-US" w:eastAsia="zh-CN"/>
              </w:rPr>
              <w:t>100%</w:t>
            </w:r>
          </w:p>
          <w:p>
            <w:pPr>
              <w:tabs>
                <w:tab w:val="left" w:pos="6597"/>
              </w:tabs>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综合部环境目标：</w:t>
            </w:r>
          </w:p>
          <w:p>
            <w:pPr>
              <w:tabs>
                <w:tab w:val="left" w:pos="6597"/>
              </w:tabs>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固体废弃物分类管理，处置率100%，实际</w:t>
            </w:r>
            <w:r>
              <w:rPr>
                <w:rFonts w:hint="default" w:asciiTheme="minorEastAsia" w:hAnsiTheme="minorEastAsia" w:eastAsiaTheme="minorEastAsia" w:cstheme="minorEastAsia"/>
                <w:sz w:val="21"/>
                <w:szCs w:val="21"/>
                <w:lang w:val="en-US" w:eastAsia="zh-CN"/>
              </w:rPr>
              <w:t>100%</w:t>
            </w:r>
          </w:p>
          <w:p>
            <w:pPr>
              <w:tabs>
                <w:tab w:val="left" w:pos="6597"/>
              </w:tabs>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火灾、触电发生次数为0次/每年，实际</w:t>
            </w:r>
            <w:r>
              <w:rPr>
                <w:rFonts w:hint="default" w:asciiTheme="minorEastAsia" w:hAnsiTheme="minorEastAsia" w:eastAsiaTheme="minorEastAsia" w:cstheme="minorEastAsia"/>
                <w:sz w:val="21"/>
                <w:szCs w:val="21"/>
                <w:lang w:val="en-US" w:eastAsia="zh-CN"/>
              </w:rPr>
              <w:t>0</w:t>
            </w:r>
          </w:p>
          <w:p>
            <w:pPr>
              <w:tabs>
                <w:tab w:val="left" w:pos="6597"/>
              </w:tabs>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综合部职业健康安全目标：</w:t>
            </w:r>
          </w:p>
          <w:p>
            <w:pPr>
              <w:tabs>
                <w:tab w:val="left" w:pos="6597"/>
              </w:tabs>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火灾、触电发生次数为0次/每年，实际</w:t>
            </w:r>
            <w:r>
              <w:rPr>
                <w:rFonts w:hint="default" w:asciiTheme="minorEastAsia" w:hAnsiTheme="minorEastAsia" w:eastAsiaTheme="minorEastAsia" w:cstheme="minorEastAsia"/>
                <w:sz w:val="21"/>
                <w:szCs w:val="21"/>
                <w:lang w:val="en-US" w:eastAsia="zh-CN"/>
              </w:rPr>
              <w:t>0</w:t>
            </w:r>
          </w:p>
          <w:p>
            <w:pPr>
              <w:tabs>
                <w:tab w:val="left" w:pos="6597"/>
              </w:tabs>
              <w:spacing w:line="360" w:lineRule="auto"/>
              <w:ind w:firstLine="42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交通意外事故为0次/年，实际</w:t>
            </w:r>
            <w:r>
              <w:rPr>
                <w:rFonts w:hint="default" w:asciiTheme="minorEastAsia" w:hAnsiTheme="minorEastAsia" w:eastAsiaTheme="minorEastAsia" w:cstheme="minorEastAsia"/>
                <w:sz w:val="21"/>
                <w:szCs w:val="21"/>
                <w:lang w:val="en-US" w:eastAsia="zh-CN"/>
              </w:rPr>
              <w:t>0</w:t>
            </w:r>
          </w:p>
          <w:p>
            <w:pPr>
              <w:tabs>
                <w:tab w:val="left" w:pos="6597"/>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抽查1）环境管理方案，</w:t>
            </w:r>
          </w:p>
          <w:p>
            <w:pPr>
              <w:tabs>
                <w:tab w:val="left" w:pos="6597"/>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环境目标：</w:t>
            </w:r>
            <w:r>
              <w:rPr>
                <w:rFonts w:hint="eastAsia" w:ascii="宋体" w:hAnsi="宋体"/>
                <w:color w:val="000000"/>
                <w:szCs w:val="21"/>
              </w:rPr>
              <w:t>废弃物：办公区设分类垃圾箱,分类</w:t>
            </w:r>
          </w:p>
          <w:p>
            <w:pPr>
              <w:tabs>
                <w:tab w:val="left" w:pos="6597"/>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环境指标：废弃物有效处置率100%；</w:t>
            </w:r>
          </w:p>
          <w:p>
            <w:pPr>
              <w:numPr>
                <w:ilvl w:val="0"/>
                <w:numId w:val="0"/>
              </w:numPr>
              <w:spacing w:line="380" w:lineRule="exact"/>
              <w:ind w:leftChars="0"/>
              <w:rPr>
                <w:rFonts w:hint="eastAsia" w:ascii="宋体" w:hAnsi="宋体"/>
                <w:color w:val="000000"/>
                <w:szCs w:val="21"/>
              </w:rPr>
            </w:pPr>
            <w:r>
              <w:rPr>
                <w:rFonts w:hint="eastAsia" w:asciiTheme="minorEastAsia" w:hAnsiTheme="minorEastAsia" w:eastAsiaTheme="minorEastAsia" w:cstheme="minorEastAsia"/>
                <w:sz w:val="21"/>
                <w:szCs w:val="21"/>
              </w:rPr>
              <w:t>管理方案：</w:t>
            </w:r>
            <w:r>
              <w:rPr>
                <w:rFonts w:hint="eastAsia" w:ascii="宋体" w:hAnsi="宋体"/>
                <w:color w:val="000000"/>
                <w:szCs w:val="21"/>
              </w:rPr>
              <w:t>制定</w:t>
            </w:r>
            <w:r>
              <w:rPr>
                <w:rFonts w:hint="eastAsia" w:ascii="宋体" w:hAnsi="宋体"/>
                <w:color w:val="000000"/>
                <w:szCs w:val="21"/>
                <w:lang w:eastAsia="zh-CN"/>
              </w:rPr>
              <w:t>固体弃物</w:t>
            </w:r>
            <w:r>
              <w:rPr>
                <w:rFonts w:hint="eastAsia" w:ascii="宋体" w:hAnsi="宋体"/>
                <w:color w:val="000000"/>
                <w:szCs w:val="21"/>
              </w:rPr>
              <w:t>处理措施</w:t>
            </w:r>
            <w:r>
              <w:rPr>
                <w:rFonts w:hint="eastAsia" w:ascii="宋体" w:hAnsi="宋体"/>
                <w:color w:val="000000"/>
                <w:szCs w:val="21"/>
                <w:lang w:eastAsia="zh-CN"/>
              </w:rPr>
              <w:t>、</w:t>
            </w:r>
            <w:r>
              <w:rPr>
                <w:rFonts w:hint="eastAsia" w:ascii="宋体" w:hAnsi="宋体"/>
                <w:color w:val="000000"/>
                <w:szCs w:val="21"/>
              </w:rPr>
              <w:t>选择合理存放</w:t>
            </w:r>
            <w:r>
              <w:rPr>
                <w:rFonts w:hint="eastAsia" w:ascii="宋体" w:hAnsi="宋体"/>
                <w:color w:val="000000"/>
                <w:szCs w:val="21"/>
                <w:lang w:eastAsia="zh-CN"/>
              </w:rPr>
              <w:t>固体弃物</w:t>
            </w:r>
            <w:r>
              <w:rPr>
                <w:rFonts w:hint="eastAsia" w:ascii="宋体" w:hAnsi="宋体"/>
                <w:color w:val="000000"/>
                <w:szCs w:val="21"/>
              </w:rPr>
              <w:t>位置</w:t>
            </w:r>
            <w:r>
              <w:rPr>
                <w:rFonts w:hint="eastAsia" w:ascii="宋体" w:hAnsi="宋体"/>
                <w:color w:val="000000"/>
                <w:szCs w:val="21"/>
                <w:lang w:eastAsia="zh-CN"/>
              </w:rPr>
              <w:t>、</w:t>
            </w:r>
            <w:r>
              <w:rPr>
                <w:rFonts w:hint="eastAsia" w:ascii="宋体" w:hAnsi="宋体"/>
                <w:color w:val="000000"/>
                <w:szCs w:val="21"/>
              </w:rPr>
              <w:t>联系</w:t>
            </w:r>
            <w:r>
              <w:rPr>
                <w:rFonts w:hint="eastAsia" w:ascii="宋体" w:hAnsi="宋体"/>
                <w:color w:val="000000"/>
                <w:szCs w:val="21"/>
                <w:lang w:eastAsia="zh-CN"/>
              </w:rPr>
              <w:t>固体弃物</w:t>
            </w:r>
            <w:r>
              <w:rPr>
                <w:rFonts w:hint="eastAsia" w:ascii="宋体" w:hAnsi="宋体"/>
                <w:color w:val="000000"/>
                <w:szCs w:val="21"/>
              </w:rPr>
              <w:t>回收</w:t>
            </w:r>
            <w:r>
              <w:rPr>
                <w:rFonts w:hint="eastAsia" w:ascii="宋体" w:hAnsi="宋体"/>
                <w:color w:val="000000"/>
                <w:szCs w:val="21"/>
                <w:lang w:eastAsia="zh-CN"/>
              </w:rPr>
              <w:t>公司</w:t>
            </w:r>
            <w:r>
              <w:rPr>
                <w:rFonts w:hint="eastAsia" w:ascii="宋体" w:hAnsi="宋体"/>
                <w:color w:val="000000"/>
                <w:szCs w:val="21"/>
              </w:rPr>
              <w:t>及时回收</w:t>
            </w:r>
          </w:p>
          <w:p>
            <w:pPr>
              <w:tabs>
                <w:tab w:val="left" w:pos="6597"/>
              </w:tabs>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资金预算:20</w:t>
            </w:r>
            <w:r>
              <w:rPr>
                <w:rFonts w:hint="eastAsia" w:asciiTheme="minorEastAsia" w:hAnsiTheme="minorEastAsia" w:eastAsiaTheme="minorEastAsia" w:cstheme="minorEastAsia"/>
                <w:sz w:val="21"/>
                <w:szCs w:val="21"/>
              </w:rPr>
              <w:t>00元。</w:t>
            </w:r>
          </w:p>
          <w:p>
            <w:pPr>
              <w:tabs>
                <w:tab w:val="left" w:pos="6597"/>
              </w:tabs>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完成时间：</w:t>
            </w:r>
            <w:r>
              <w:rPr>
                <w:rFonts w:hint="eastAsia" w:asciiTheme="minorEastAsia" w:hAnsiTheme="minorEastAsia" w:eastAsiaTheme="minorEastAsia" w:cstheme="minorEastAsia"/>
                <w:sz w:val="21"/>
                <w:szCs w:val="21"/>
                <w:lang w:eastAsia="zh-CN"/>
              </w:rPr>
              <w:t>20</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年1</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月底以前；</w:t>
            </w:r>
          </w:p>
          <w:p>
            <w:pPr>
              <w:tabs>
                <w:tab w:val="left" w:pos="6597"/>
              </w:tabs>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责任</w:t>
            </w:r>
            <w:r>
              <w:rPr>
                <w:rFonts w:hint="eastAsia" w:asciiTheme="minorEastAsia" w:hAnsiTheme="minorEastAsia" w:eastAsiaTheme="minorEastAsia" w:cstheme="minorEastAsia"/>
                <w:sz w:val="21"/>
                <w:szCs w:val="21"/>
                <w:lang w:val="en-US" w:eastAsia="zh-CN"/>
              </w:rPr>
              <w:t>部门</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综合部</w:t>
            </w:r>
            <w:r>
              <w:rPr>
                <w:rFonts w:hint="eastAsia" w:asciiTheme="minorEastAsia" w:hAnsiTheme="minorEastAsia" w:eastAsiaTheme="minorEastAsia" w:cstheme="minorEastAsia"/>
                <w:sz w:val="21"/>
                <w:szCs w:val="21"/>
              </w:rPr>
              <w:t>；</w:t>
            </w:r>
          </w:p>
          <w:p>
            <w:pPr>
              <w:tabs>
                <w:tab w:val="left" w:pos="6597"/>
              </w:tabs>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w:t>
            </w:r>
            <w:r>
              <w:rPr>
                <w:rFonts w:hint="eastAsia" w:asciiTheme="minorEastAsia" w:hAnsiTheme="minorEastAsia" w:eastAsiaTheme="minorEastAsia" w:cstheme="minorEastAsia"/>
                <w:sz w:val="21"/>
                <w:szCs w:val="21"/>
                <w:lang w:val="en-US" w:eastAsia="zh-CN"/>
              </w:rPr>
              <w:t>林森泉</w:t>
            </w:r>
            <w:r>
              <w:rPr>
                <w:rFonts w:hint="eastAsia" w:asciiTheme="minorEastAsia" w:hAnsiTheme="minorEastAsia" w:eastAsiaTheme="minorEastAsia" w:cstheme="minorEastAsia"/>
                <w:sz w:val="21"/>
                <w:szCs w:val="21"/>
              </w:rPr>
              <w:t>、审批：</w:t>
            </w:r>
            <w:r>
              <w:rPr>
                <w:rFonts w:hint="eastAsia" w:asciiTheme="minorEastAsia" w:hAnsiTheme="minorEastAsia" w:eastAsiaTheme="minorEastAsia" w:cstheme="minorEastAsia"/>
                <w:sz w:val="21"/>
                <w:szCs w:val="21"/>
                <w:lang w:eastAsia="zh-CN"/>
              </w:rPr>
              <w:t>陈建阳</w:t>
            </w:r>
            <w:r>
              <w:rPr>
                <w:rFonts w:hint="eastAsia" w:asciiTheme="minorEastAsia" w:hAnsiTheme="minorEastAsia" w:eastAsiaTheme="minorEastAsia" w:cstheme="minorEastAsia"/>
                <w:sz w:val="21"/>
                <w:szCs w:val="21"/>
              </w:rPr>
              <w:t>，日期：</w:t>
            </w:r>
            <w:r>
              <w:rPr>
                <w:rFonts w:hint="eastAsia" w:asciiTheme="minorEastAsia" w:hAnsiTheme="minorEastAsia" w:eastAsiaTheme="minorEastAsia" w:cstheme="minorEastAsia"/>
                <w:szCs w:val="24"/>
                <w:lang w:eastAsia="zh-CN"/>
              </w:rPr>
              <w:t>2020年</w:t>
            </w:r>
            <w:r>
              <w:rPr>
                <w:rFonts w:hint="eastAsia" w:asciiTheme="minorEastAsia" w:hAnsiTheme="minorEastAsia" w:eastAsiaTheme="minorEastAsia" w:cstheme="minorEastAsia"/>
                <w:szCs w:val="24"/>
                <w:lang w:val="en-US" w:eastAsia="zh-CN"/>
              </w:rPr>
              <w:t>1</w:t>
            </w:r>
            <w:r>
              <w:rPr>
                <w:rFonts w:hint="eastAsia" w:asciiTheme="minorEastAsia" w:hAnsiTheme="minorEastAsia" w:eastAsiaTheme="minorEastAsia" w:cstheme="minorEastAsia"/>
                <w:szCs w:val="24"/>
                <w:lang w:eastAsia="zh-CN"/>
              </w:rPr>
              <w:t>月2日</w:t>
            </w:r>
            <w:r>
              <w:rPr>
                <w:rFonts w:hint="eastAsia" w:asciiTheme="minorEastAsia" w:hAnsiTheme="minorEastAsia" w:eastAsiaTheme="minorEastAsia" w:cstheme="minorEastAsia"/>
                <w:sz w:val="21"/>
                <w:szCs w:val="21"/>
              </w:rPr>
              <w:t>。</w:t>
            </w:r>
          </w:p>
          <w:p>
            <w:pPr>
              <w:tabs>
                <w:tab w:val="left" w:pos="6597"/>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抽查2）职业健康安全管理方案，</w:t>
            </w:r>
          </w:p>
          <w:p>
            <w:pPr>
              <w:tabs>
                <w:tab w:val="left" w:pos="6597"/>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重大风险源：火灾的发生；</w:t>
            </w:r>
          </w:p>
          <w:p>
            <w:pPr>
              <w:tabs>
                <w:tab w:val="left" w:pos="6597"/>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安全目标指标：火灾发生率为0；</w:t>
            </w:r>
          </w:p>
          <w:p>
            <w:pPr>
              <w:tabs>
                <w:tab w:val="left" w:pos="6597"/>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主要的</w:t>
            </w:r>
            <w:r>
              <w:rPr>
                <w:rFonts w:hint="eastAsia" w:asciiTheme="minorEastAsia" w:hAnsiTheme="minorEastAsia" w:eastAsiaTheme="minorEastAsia" w:cstheme="minorEastAsia"/>
                <w:sz w:val="21"/>
                <w:szCs w:val="21"/>
                <w:lang w:val="en-US" w:eastAsia="zh-CN"/>
              </w:rPr>
              <w:t>管理</w:t>
            </w:r>
            <w:r>
              <w:rPr>
                <w:rFonts w:hint="eastAsia" w:asciiTheme="minorEastAsia" w:hAnsiTheme="minorEastAsia" w:eastAsiaTheme="minorEastAsia" w:cstheme="minorEastAsia"/>
                <w:sz w:val="21"/>
                <w:szCs w:val="21"/>
              </w:rPr>
              <w:t>方案和措施：</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对人员进行培训</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办公场所、配电区设置禁烟警示标识；配备足够灭火器；对火灾进行应急预案演练</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定期检查，及时排除火灾隐患；</w:t>
            </w:r>
          </w:p>
          <w:p>
            <w:pPr>
              <w:tabs>
                <w:tab w:val="left" w:pos="6597"/>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w:t>
            </w:r>
            <w:r>
              <w:rPr>
                <w:rFonts w:hint="eastAsia" w:asciiTheme="minorEastAsia" w:hAnsiTheme="minorEastAsia" w:eastAsiaTheme="minorEastAsia" w:cstheme="minorEastAsia"/>
                <w:sz w:val="21"/>
                <w:szCs w:val="21"/>
                <w:lang w:val="en-US" w:eastAsia="zh-CN"/>
              </w:rPr>
              <w:t>部门</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综合部</w:t>
            </w:r>
            <w:r>
              <w:rPr>
                <w:rFonts w:hint="eastAsia" w:asciiTheme="minorEastAsia" w:hAnsiTheme="minorEastAsia" w:eastAsiaTheme="minorEastAsia" w:cstheme="minorEastAsia"/>
                <w:sz w:val="21"/>
                <w:szCs w:val="21"/>
              </w:rPr>
              <w:t>，审批：</w:t>
            </w:r>
            <w:r>
              <w:rPr>
                <w:rFonts w:hint="eastAsia" w:asciiTheme="minorEastAsia" w:hAnsiTheme="minorEastAsia" w:eastAsiaTheme="minorEastAsia" w:cstheme="minorEastAsia"/>
                <w:sz w:val="21"/>
                <w:szCs w:val="21"/>
                <w:lang w:eastAsia="zh-CN"/>
              </w:rPr>
              <w:t>陈建阳</w:t>
            </w:r>
            <w:r>
              <w:rPr>
                <w:rFonts w:hint="eastAsia" w:asciiTheme="minorEastAsia" w:hAnsiTheme="minorEastAsia" w:eastAsiaTheme="minorEastAsia" w:cstheme="minorEastAsia"/>
                <w:sz w:val="21"/>
                <w:szCs w:val="21"/>
              </w:rPr>
              <w:t>，日期：</w:t>
            </w:r>
            <w:r>
              <w:rPr>
                <w:rFonts w:hint="eastAsia" w:asciiTheme="minorEastAsia" w:hAnsiTheme="minorEastAsia" w:eastAsiaTheme="minorEastAsia" w:cstheme="minorEastAsia"/>
                <w:szCs w:val="24"/>
                <w:lang w:eastAsia="zh-CN"/>
              </w:rPr>
              <w:t>2020年</w:t>
            </w:r>
            <w:r>
              <w:rPr>
                <w:rFonts w:hint="eastAsia" w:asciiTheme="minorEastAsia" w:hAnsiTheme="minorEastAsia" w:eastAsiaTheme="minorEastAsia" w:cstheme="minorEastAsia"/>
                <w:szCs w:val="24"/>
                <w:lang w:val="en-US" w:eastAsia="zh-CN"/>
              </w:rPr>
              <w:t>1</w:t>
            </w:r>
            <w:r>
              <w:rPr>
                <w:rFonts w:hint="eastAsia" w:asciiTheme="minorEastAsia" w:hAnsiTheme="minorEastAsia" w:eastAsiaTheme="minorEastAsia" w:cstheme="minorEastAsia"/>
                <w:szCs w:val="24"/>
                <w:lang w:eastAsia="zh-CN"/>
              </w:rPr>
              <w:t>月2日</w:t>
            </w:r>
            <w:r>
              <w:rPr>
                <w:rFonts w:hint="eastAsia" w:asciiTheme="minorEastAsia" w:hAnsiTheme="minorEastAsia" w:eastAsiaTheme="minorEastAsia" w:cstheme="minorEastAsia"/>
                <w:sz w:val="21"/>
                <w:szCs w:val="21"/>
              </w:rPr>
              <w:t>。</w:t>
            </w:r>
          </w:p>
          <w:p>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管理方案由责任部门组织实施，目前在实施中，部分已完成。</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3" w:hRule="atLeast"/>
        </w:trPr>
        <w:tc>
          <w:tcPr>
            <w:tcW w:w="1707"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人员</w:t>
            </w:r>
          </w:p>
        </w:tc>
        <w:tc>
          <w:tcPr>
            <w:tcW w:w="1019"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Q7.1.2</w:t>
            </w:r>
          </w:p>
        </w:tc>
        <w:tc>
          <w:tcPr>
            <w:tcW w:w="11223" w:type="dxa"/>
            <w:vAlign w:val="top"/>
          </w:tcPr>
          <w:p>
            <w:pPr>
              <w:spacing w:line="360" w:lineRule="auto"/>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1、组织配置了适宜的人员：如</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人员、管理人员、业务人员等；人员配置基本满足日常管理体系运行要求；</w:t>
            </w:r>
          </w:p>
          <w:p>
            <w:pPr>
              <w:spacing w:line="360" w:lineRule="auto"/>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2、现场查看，该</w:t>
            </w:r>
            <w:r>
              <w:rPr>
                <w:rFonts w:hint="eastAsia" w:asciiTheme="minorEastAsia" w:hAnsiTheme="minorEastAsia" w:eastAsiaTheme="minorEastAsia" w:cstheme="minorEastAsia"/>
                <w:sz w:val="21"/>
                <w:szCs w:val="21"/>
                <w:lang w:eastAsia="zh-CN"/>
              </w:rPr>
              <w:t>受审核方</w:t>
            </w:r>
            <w:r>
              <w:rPr>
                <w:rFonts w:hint="eastAsia" w:asciiTheme="minorEastAsia" w:hAnsiTheme="minorEastAsia" w:eastAsiaTheme="minorEastAsia" w:cstheme="minorEastAsia"/>
                <w:sz w:val="21"/>
                <w:szCs w:val="21"/>
              </w:rPr>
              <w:t>未涉及到特殊作业，以及特种作业人员。</w:t>
            </w:r>
          </w:p>
          <w:p>
            <w:pPr>
              <w:spacing w:line="360" w:lineRule="auto"/>
              <w:ind w:firstLine="210" w:firstLineChars="1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3、组织通过</w:t>
            </w:r>
            <w:r>
              <w:rPr>
                <w:rFonts w:hint="eastAsia" w:asciiTheme="minorEastAsia" w:hAnsiTheme="minorEastAsia" w:eastAsiaTheme="minorEastAsia" w:cstheme="minorEastAsia"/>
                <w:sz w:val="21"/>
                <w:szCs w:val="21"/>
                <w:lang w:eastAsia="zh-CN"/>
              </w:rPr>
              <w:t>业务部</w:t>
            </w:r>
            <w:r>
              <w:rPr>
                <w:rFonts w:hint="eastAsia" w:asciiTheme="minorEastAsia" w:hAnsiTheme="minorEastAsia" w:eastAsiaTheme="minorEastAsia" w:cstheme="minorEastAsia"/>
                <w:sz w:val="21"/>
                <w:szCs w:val="21"/>
              </w:rPr>
              <w:t>对供应商的人员和设备等进行了评价，经过评价确定，供应商配备了具备有能保持稳定提供产品的能力。</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707"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组织的知识</w:t>
            </w:r>
          </w:p>
        </w:tc>
        <w:tc>
          <w:tcPr>
            <w:tcW w:w="1019"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Q7.1.6</w:t>
            </w:r>
          </w:p>
        </w:tc>
        <w:tc>
          <w:tcPr>
            <w:tcW w:w="11223" w:type="dxa"/>
            <w:vAlign w:val="center"/>
          </w:tcPr>
          <w:p>
            <w:pPr>
              <w:tabs>
                <w:tab w:val="left" w:pos="6597"/>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公司</w:t>
            </w:r>
            <w:r>
              <w:rPr>
                <w:rFonts w:hint="eastAsia" w:asciiTheme="minorEastAsia" w:hAnsiTheme="minorEastAsia" w:eastAsiaTheme="minorEastAsia" w:cstheme="minorEastAsia"/>
                <w:sz w:val="21"/>
                <w:szCs w:val="21"/>
              </w:rPr>
              <w:t>确定运行过程所需要的知识，包括内部知识、外部知识。</w:t>
            </w:r>
          </w:p>
          <w:p>
            <w:pPr>
              <w:autoSpaceDE w:val="0"/>
              <w:autoSpaceDN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经组织识别，组织内外部知识包括：</w:t>
            </w:r>
          </w:p>
          <w:p>
            <w:pPr>
              <w:autoSpaceDE w:val="0"/>
              <w:autoSpaceDN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外部知识、专业知识、管理经验、教训等。</w:t>
            </w:r>
          </w:p>
          <w:p>
            <w:pPr>
              <w:autoSpaceDE w:val="0"/>
              <w:autoSpaceDN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现场看到组织各部门层次基本有相应的管理制度、岗位职责、工作要求等组织内部知识。此外还通过文件发放、会议传达、专题培训等方式进行内部知识的获得、交流和更新等。</w:t>
            </w:r>
          </w:p>
          <w:p>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xml:space="preserve">    组织知识在部门管理基本符合标准要求。</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707"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能力、意识</w:t>
            </w:r>
          </w:p>
        </w:tc>
        <w:tc>
          <w:tcPr>
            <w:tcW w:w="1019"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 xml:space="preserve">： 7.2  7.3  </w:t>
            </w:r>
          </w:p>
          <w:p>
            <w:pPr>
              <w:rPr>
                <w:rFonts w:hint="eastAsia" w:asciiTheme="minorEastAsia" w:hAnsiTheme="minorEastAsia" w:eastAsiaTheme="minorEastAsia" w:cstheme="minorEastAsia"/>
                <w:sz w:val="21"/>
                <w:szCs w:val="21"/>
              </w:rPr>
            </w:pPr>
          </w:p>
        </w:tc>
        <w:tc>
          <w:tcPr>
            <w:tcW w:w="11223" w:type="dxa"/>
            <w:vAlign w:val="center"/>
          </w:tcPr>
          <w:p>
            <w:pPr>
              <w:spacing w:line="36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编制执行《人力资源控制程序》、《岗位工作人员任职要求》，规定了人力资源配备、培训计划与实施，考核与认可等予以规定。</w:t>
            </w:r>
          </w:p>
          <w:p>
            <w:pPr>
              <w:spacing w:line="36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编制了《岗位工作人员任职要求》，对总经理、管代、各部门负责人、业务员、内审员等岗位规定了年龄、学历、工作经历、工作能力、培训等方面的任职要求及岗位职责。</w:t>
            </w:r>
          </w:p>
          <w:p>
            <w:pPr>
              <w:spacing w:line="36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每年底由</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对各岗位人员进行能力考核，根据结果</w:t>
            </w:r>
            <w:r>
              <w:rPr>
                <w:rFonts w:hint="eastAsia" w:asciiTheme="minorEastAsia" w:hAnsiTheme="minorEastAsia" w:eastAsiaTheme="minorEastAsia" w:cstheme="minorEastAsia"/>
                <w:sz w:val="21"/>
                <w:szCs w:val="21"/>
                <w:lang w:val="en-US" w:eastAsia="zh-CN"/>
              </w:rPr>
              <w:t>对能力达不到或需加强的</w:t>
            </w:r>
            <w:r>
              <w:rPr>
                <w:rFonts w:hint="eastAsia" w:asciiTheme="minorEastAsia" w:hAnsiTheme="minorEastAsia" w:eastAsiaTheme="minorEastAsia" w:cstheme="minorEastAsia"/>
                <w:sz w:val="21"/>
                <w:szCs w:val="21"/>
              </w:rPr>
              <w:t>采取措施通常是培训。</w:t>
            </w:r>
          </w:p>
          <w:p>
            <w:pPr>
              <w:spacing w:line="36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查到《</w:t>
            </w:r>
            <w:bookmarkStart w:id="1" w:name="年度培训计划"/>
            <w:r>
              <w:rPr>
                <w:rFonts w:hint="eastAsia" w:asciiTheme="minorEastAsia" w:hAnsiTheme="minorEastAsia" w:eastAsiaTheme="minorEastAsia" w:cstheme="minorEastAsia"/>
                <w:sz w:val="21"/>
                <w:szCs w:val="21"/>
              </w:rPr>
              <w:t>20</w:t>
            </w:r>
            <w:r>
              <w:rPr>
                <w:rFonts w:hint="eastAsia" w:asciiTheme="minorEastAsia" w:hAnsiTheme="minorEastAsia" w:eastAsiaTheme="minorEastAsia" w:cstheme="minorEastAsia"/>
                <w:sz w:val="21"/>
                <w:szCs w:val="21"/>
                <w:lang w:val="en-US" w:eastAsia="zh-CN"/>
              </w:rPr>
              <w:t xml:space="preserve">20 </w:t>
            </w:r>
            <w:r>
              <w:rPr>
                <w:rFonts w:hint="eastAsia" w:asciiTheme="minorEastAsia" w:hAnsiTheme="minorEastAsia" w:eastAsiaTheme="minorEastAsia" w:cstheme="minorEastAsia"/>
                <w:sz w:val="21"/>
                <w:szCs w:val="21"/>
              </w:rPr>
              <w:t>年度培训计划</w:t>
            </w:r>
            <w:bookmarkEnd w:id="1"/>
            <w:r>
              <w:rPr>
                <w:rFonts w:hint="eastAsia" w:asciiTheme="minorEastAsia" w:hAnsiTheme="minorEastAsia" w:eastAsiaTheme="minorEastAsia" w:cstheme="minorEastAsia"/>
                <w:sz w:val="21"/>
                <w:szCs w:val="21"/>
              </w:rPr>
              <w:t>》，编制</w:t>
            </w:r>
            <w:r>
              <w:rPr>
                <w:rFonts w:hint="eastAsia" w:asciiTheme="minorEastAsia" w:hAnsiTheme="minorEastAsia" w:eastAsiaTheme="minorEastAsia" w:cstheme="minorEastAsia"/>
                <w:sz w:val="21"/>
                <w:szCs w:val="21"/>
                <w:lang w:val="en-US" w:eastAsia="zh-CN"/>
              </w:rPr>
              <w:t>林森泉</w:t>
            </w:r>
            <w:r>
              <w:rPr>
                <w:rFonts w:hint="eastAsia" w:asciiTheme="minorEastAsia" w:hAnsiTheme="minorEastAsia" w:eastAsiaTheme="minorEastAsia" w:cstheme="minorEastAsia"/>
                <w:sz w:val="21"/>
                <w:szCs w:val="21"/>
              </w:rPr>
              <w:t>，批准</w:t>
            </w:r>
            <w:r>
              <w:rPr>
                <w:rFonts w:hint="eastAsia" w:asciiTheme="minorEastAsia" w:hAnsiTheme="minorEastAsia" w:eastAsiaTheme="minorEastAsia" w:cstheme="minorEastAsia"/>
                <w:sz w:val="21"/>
                <w:szCs w:val="21"/>
                <w:lang w:eastAsia="zh-CN"/>
              </w:rPr>
              <w:t>陈建阳</w:t>
            </w:r>
            <w:r>
              <w:rPr>
                <w:rFonts w:hint="eastAsia" w:asciiTheme="minorEastAsia" w:hAnsiTheme="minorEastAsia" w:eastAsiaTheme="minorEastAsia" w:cstheme="minorEastAsia"/>
                <w:sz w:val="21"/>
                <w:szCs w:val="21"/>
              </w:rPr>
              <w:t>。培训内容涉及：标准、</w:t>
            </w:r>
            <w:r>
              <w:rPr>
                <w:rFonts w:hint="eastAsia" w:asciiTheme="minorEastAsia" w:hAnsiTheme="minorEastAsia" w:eastAsiaTheme="minorEastAsia" w:cstheme="minorEastAsia"/>
                <w:sz w:val="21"/>
                <w:szCs w:val="21"/>
                <w:lang w:val="en-US" w:eastAsia="zh-CN"/>
              </w:rPr>
              <w:t>管理</w:t>
            </w:r>
            <w:r>
              <w:rPr>
                <w:rFonts w:hint="eastAsia" w:asciiTheme="minorEastAsia" w:hAnsiTheme="minorEastAsia" w:eastAsiaTheme="minorEastAsia" w:cstheme="minorEastAsia"/>
                <w:sz w:val="21"/>
                <w:szCs w:val="21"/>
              </w:rPr>
              <w:t>手册程序体系文件、</w:t>
            </w:r>
            <w:r>
              <w:rPr>
                <w:rFonts w:hint="eastAsia" w:asciiTheme="minorEastAsia" w:hAnsiTheme="minorEastAsia" w:eastAsiaTheme="minorEastAsia" w:cstheme="minorEastAsia"/>
                <w:sz w:val="21"/>
                <w:szCs w:val="21"/>
                <w:lang w:val="en-US" w:eastAsia="zh-CN"/>
              </w:rPr>
              <w:t>内审员培训</w:t>
            </w:r>
            <w:r>
              <w:rPr>
                <w:rFonts w:hint="eastAsia" w:asciiTheme="minorEastAsia" w:hAnsiTheme="minorEastAsia" w:eastAsiaTheme="minorEastAsia" w:cstheme="minorEastAsia"/>
                <w:sz w:val="21"/>
                <w:szCs w:val="21"/>
              </w:rPr>
              <w:t>、管理制度等培训。</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抽</w:t>
            </w:r>
            <w:r>
              <w:rPr>
                <w:rFonts w:hint="eastAsia" w:asciiTheme="minorEastAsia" w:hAnsiTheme="minorEastAsia" w:eastAsiaTheme="minorEastAsia" w:cstheme="minorEastAsia"/>
                <w:sz w:val="21"/>
                <w:szCs w:val="21"/>
              </w:rPr>
              <w:t>查到：《培训记录表》，</w:t>
            </w:r>
            <w:r>
              <w:rPr>
                <w:rFonts w:hint="eastAsia" w:asciiTheme="minorEastAsia" w:hAnsiTheme="minorEastAsia" w:eastAsiaTheme="minorEastAsia" w:cstheme="minorEastAsia"/>
                <w:sz w:val="21"/>
                <w:szCs w:val="21"/>
                <w:lang w:val="en-US" w:eastAsia="zh-CN"/>
              </w:rPr>
              <w:t>2020.1.20</w:t>
            </w:r>
            <w:r>
              <w:rPr>
                <w:rFonts w:hint="eastAsia" w:asciiTheme="minorEastAsia" w:hAnsiTheme="minorEastAsia" w:eastAsiaTheme="minorEastAsia" w:cstheme="minorEastAsia"/>
                <w:sz w:val="21"/>
                <w:szCs w:val="21"/>
              </w:rPr>
              <w:t>进行</w:t>
            </w:r>
            <w:r>
              <w:rPr>
                <w:rFonts w:hint="eastAsia" w:asciiTheme="minorEastAsia" w:hAnsiTheme="minorEastAsia" w:eastAsiaTheme="minorEastAsia" w:cstheme="minorEastAsia"/>
                <w:sz w:val="21"/>
                <w:szCs w:val="21"/>
                <w:lang w:val="en-US" w:eastAsia="zh-CN"/>
              </w:rPr>
              <w:t>ISO</w:t>
            </w:r>
            <w:r>
              <w:rPr>
                <w:rFonts w:hint="eastAsia" w:asciiTheme="minorEastAsia" w:hAnsiTheme="minorEastAsia" w:eastAsiaTheme="minorEastAsia" w:cstheme="minorEastAsia"/>
                <w:sz w:val="21"/>
                <w:szCs w:val="21"/>
              </w:rPr>
              <w:t>标准</w:t>
            </w:r>
            <w:r>
              <w:rPr>
                <w:rFonts w:hint="eastAsia" w:asciiTheme="minorEastAsia" w:hAnsiTheme="minorEastAsia" w:eastAsiaTheme="minorEastAsia" w:cstheme="minorEastAsia"/>
                <w:sz w:val="21"/>
                <w:szCs w:val="21"/>
                <w:lang w:eastAsia="zh-CN"/>
              </w:rPr>
              <w:t>和体系文件培训</w:t>
            </w:r>
            <w:r>
              <w:rPr>
                <w:rFonts w:hint="eastAsia" w:asciiTheme="minorEastAsia" w:hAnsiTheme="minorEastAsia" w:eastAsiaTheme="minorEastAsia" w:cstheme="minorEastAsia"/>
                <w:sz w:val="21"/>
                <w:szCs w:val="21"/>
              </w:rPr>
              <w:t>培训，记录了培训内容摘要，通过现场提问答辩对培训效果予以考核评价，考核合格率100%。</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另</w:t>
            </w:r>
            <w:r>
              <w:rPr>
                <w:rFonts w:hint="eastAsia" w:asciiTheme="minorEastAsia" w:hAnsiTheme="minorEastAsia" w:eastAsiaTheme="minorEastAsia" w:cstheme="minorEastAsia"/>
                <w:sz w:val="21"/>
                <w:szCs w:val="21"/>
                <w:lang w:val="en-US" w:eastAsia="zh-CN"/>
              </w:rPr>
              <w:t>抽</w:t>
            </w:r>
            <w:r>
              <w:rPr>
                <w:rFonts w:hint="eastAsia" w:asciiTheme="minorEastAsia" w:hAnsiTheme="minorEastAsia" w:eastAsiaTheme="minorEastAsia" w:cstheme="minorEastAsia"/>
                <w:sz w:val="21"/>
                <w:szCs w:val="21"/>
              </w:rPr>
              <w:t>查到：</w:t>
            </w:r>
            <w:r>
              <w:rPr>
                <w:rFonts w:hint="eastAsia" w:asciiTheme="minorEastAsia" w:hAnsiTheme="minorEastAsia" w:eastAsiaTheme="minorEastAsia" w:cstheme="minorEastAsia"/>
                <w:sz w:val="21"/>
                <w:szCs w:val="21"/>
                <w:lang w:val="en-US" w:eastAsia="zh-CN"/>
              </w:rPr>
              <w:t>2020.3.2</w:t>
            </w:r>
            <w:r>
              <w:rPr>
                <w:rFonts w:hint="eastAsia" w:asciiTheme="minorEastAsia" w:hAnsiTheme="minorEastAsia" w:eastAsiaTheme="minorEastAsia" w:cstheme="minorEastAsia"/>
                <w:sz w:val="21"/>
                <w:szCs w:val="21"/>
                <w:lang w:eastAsia="zh-CN"/>
              </w:rPr>
              <w:t>组织</w:t>
            </w:r>
            <w:r>
              <w:rPr>
                <w:rFonts w:hint="eastAsia" w:asciiTheme="minorEastAsia" w:hAnsiTheme="minorEastAsia" w:eastAsiaTheme="minorEastAsia" w:cstheme="minorEastAsia"/>
                <w:sz w:val="21"/>
                <w:szCs w:val="21"/>
                <w:lang w:val="en-US" w:eastAsia="zh-CN"/>
              </w:rPr>
              <w:t>员工疫情防控培训</w:t>
            </w:r>
            <w:r>
              <w:rPr>
                <w:rFonts w:hint="eastAsia" w:asciiTheme="minorEastAsia" w:hAnsiTheme="minorEastAsia" w:eastAsiaTheme="minorEastAsia" w:cstheme="minorEastAsia"/>
                <w:sz w:val="21"/>
                <w:szCs w:val="21"/>
                <w:lang w:eastAsia="zh-CN"/>
              </w:rPr>
              <w:t>培训，记录了培训内容摘要，通过现场提问答辩对培训效果予以考核评价，考核合格率100%。</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另</w:t>
            </w:r>
            <w:r>
              <w:rPr>
                <w:rFonts w:hint="eastAsia" w:asciiTheme="minorEastAsia" w:hAnsiTheme="minorEastAsia" w:eastAsiaTheme="minorEastAsia" w:cstheme="minorEastAsia"/>
                <w:sz w:val="21"/>
                <w:szCs w:val="21"/>
                <w:lang w:val="en-US" w:eastAsia="zh-CN"/>
              </w:rPr>
              <w:t>抽</w:t>
            </w:r>
            <w:r>
              <w:rPr>
                <w:rFonts w:hint="eastAsia" w:asciiTheme="minorEastAsia" w:hAnsiTheme="minorEastAsia" w:eastAsiaTheme="minorEastAsia" w:cstheme="minorEastAsia"/>
                <w:sz w:val="21"/>
                <w:szCs w:val="21"/>
              </w:rPr>
              <w:t>查到：</w:t>
            </w:r>
            <w:r>
              <w:rPr>
                <w:rFonts w:hint="eastAsia" w:asciiTheme="minorEastAsia" w:hAnsiTheme="minorEastAsia" w:eastAsiaTheme="minorEastAsia" w:cstheme="minorEastAsia"/>
                <w:sz w:val="21"/>
                <w:szCs w:val="21"/>
                <w:lang w:val="en-US" w:eastAsia="zh-CN"/>
              </w:rPr>
              <w:t>2020.6.20</w:t>
            </w:r>
            <w:r>
              <w:rPr>
                <w:rFonts w:hint="eastAsia" w:asciiTheme="minorEastAsia" w:hAnsiTheme="minorEastAsia" w:eastAsiaTheme="minorEastAsia" w:cstheme="minorEastAsia"/>
                <w:sz w:val="21"/>
                <w:szCs w:val="21"/>
              </w:rPr>
              <w:t>进行</w:t>
            </w:r>
            <w:r>
              <w:rPr>
                <w:rFonts w:hint="eastAsia" w:asciiTheme="minorEastAsia" w:hAnsiTheme="minorEastAsia" w:eastAsiaTheme="minorEastAsia" w:cstheme="minorEastAsia"/>
                <w:sz w:val="21"/>
                <w:szCs w:val="21"/>
                <w:lang w:eastAsia="zh-CN"/>
              </w:rPr>
              <w:t>销售技巧的</w:t>
            </w:r>
            <w:r>
              <w:rPr>
                <w:rFonts w:hint="eastAsia" w:asciiTheme="minorEastAsia" w:hAnsiTheme="minorEastAsia" w:eastAsiaTheme="minorEastAsia" w:cstheme="minorEastAsia"/>
                <w:sz w:val="21"/>
                <w:szCs w:val="21"/>
              </w:rPr>
              <w:t xml:space="preserve">培训培训，记录了培训内容摘要，通过现场提问答辩对培训效果予以考核评价，考核合格率100%。 </w:t>
            </w:r>
          </w:p>
          <w:p>
            <w:pPr>
              <w:tabs>
                <w:tab w:val="left" w:pos="6597"/>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通过培训、面谈等沟通方式，提高了员工的素质，增强了主人翁的责任感，使员工认识到了自身贡献的重要性。员工对公司的方针及部门目标基本了解，并且能够意识到自己岗位对整个</w:t>
            </w:r>
            <w:r>
              <w:rPr>
                <w:rFonts w:hint="eastAsia" w:asciiTheme="minorEastAsia" w:hAnsiTheme="minorEastAsia" w:eastAsiaTheme="minorEastAsia" w:cstheme="minorEastAsia"/>
                <w:sz w:val="21"/>
                <w:szCs w:val="21"/>
                <w:lang w:val="en-US" w:eastAsia="zh-CN"/>
              </w:rPr>
              <w:t>管理体系</w:t>
            </w:r>
            <w:r>
              <w:rPr>
                <w:rFonts w:hint="eastAsia" w:asciiTheme="minorEastAsia" w:hAnsiTheme="minorEastAsia" w:eastAsiaTheme="minorEastAsia" w:cstheme="minorEastAsia"/>
                <w:sz w:val="21"/>
                <w:szCs w:val="21"/>
              </w:rPr>
              <w:t>流程的重要性和偏离的后果。</w:t>
            </w:r>
          </w:p>
          <w:p>
            <w:pPr>
              <w:autoSpaceDE w:val="0"/>
              <w:autoSpaceDN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部长</w:t>
            </w:r>
            <w:r>
              <w:rPr>
                <w:rFonts w:hint="eastAsia" w:asciiTheme="minorEastAsia" w:hAnsiTheme="minorEastAsia" w:eastAsiaTheme="minorEastAsia" w:cstheme="minorEastAsia"/>
                <w:sz w:val="21"/>
                <w:szCs w:val="21"/>
              </w:rPr>
              <w:t>介绍：未出现新员工</w:t>
            </w:r>
            <w:r>
              <w:rPr>
                <w:rFonts w:hint="eastAsia" w:asciiTheme="minorEastAsia" w:hAnsiTheme="minorEastAsia" w:eastAsiaTheme="minorEastAsia" w:cstheme="minorEastAsia"/>
                <w:sz w:val="21"/>
                <w:szCs w:val="21"/>
                <w:lang w:val="en-US" w:eastAsia="zh-CN"/>
              </w:rPr>
              <w:t>和</w:t>
            </w:r>
            <w:r>
              <w:rPr>
                <w:rFonts w:hint="eastAsia" w:asciiTheme="minorEastAsia" w:hAnsiTheme="minorEastAsia" w:eastAsiaTheme="minorEastAsia" w:cstheme="minorEastAsia"/>
                <w:sz w:val="21"/>
                <w:szCs w:val="21"/>
              </w:rPr>
              <w:t>发生调岗人员的情况。</w:t>
            </w:r>
          </w:p>
          <w:p>
            <w:pPr>
              <w:autoSpaceDE w:val="0"/>
              <w:autoSpaceDN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公司无特种作业人员。</w:t>
            </w:r>
          </w:p>
          <w:p>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bCs w:val="0"/>
                <w:color w:val="FF0000"/>
                <w:sz w:val="21"/>
                <w:szCs w:val="21"/>
                <w:lang w:val="en-US" w:eastAsia="zh-CN"/>
              </w:rPr>
              <w:t>年度培训计划不完整，只提供到8月份的培训记录，且未作质量、环境、安全法律法规培训，应急预</w:t>
            </w:r>
            <w:r>
              <w:rPr>
                <w:rFonts w:hint="eastAsia" w:asciiTheme="minorEastAsia" w:hAnsiTheme="minorEastAsia" w:eastAsiaTheme="minorEastAsia" w:cstheme="minorEastAsia"/>
                <w:b w:val="0"/>
                <w:bCs w:val="0"/>
                <w:color w:val="FF0000"/>
                <w:sz w:val="21"/>
                <w:szCs w:val="21"/>
              </w:rPr>
              <w:t>案应急准备培训</w:t>
            </w:r>
            <w:r>
              <w:rPr>
                <w:rFonts w:hint="eastAsia" w:asciiTheme="minorEastAsia" w:hAnsiTheme="minorEastAsia" w:eastAsiaTheme="minorEastAsia" w:cstheme="minorEastAsia"/>
                <w:b w:val="0"/>
                <w:bCs w:val="0"/>
                <w:color w:val="FF0000"/>
                <w:sz w:val="21"/>
                <w:szCs w:val="21"/>
                <w:lang w:val="en-US" w:eastAsia="zh-CN"/>
              </w:rPr>
              <w:t>等</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707" w:type="dxa"/>
            <w:vAlign w:val="top"/>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信息交流、沟通、</w:t>
            </w:r>
          </w:p>
          <w:p>
            <w:pPr>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 w:val="21"/>
                <w:szCs w:val="21"/>
              </w:rPr>
              <w:t>协商与参与</w:t>
            </w:r>
          </w:p>
        </w:tc>
        <w:tc>
          <w:tcPr>
            <w:tcW w:w="1019" w:type="dxa"/>
            <w:vAlign w:val="top"/>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Q/E：7.4  </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 xml:space="preserve">：5.4 </w:t>
            </w:r>
          </w:p>
        </w:tc>
        <w:tc>
          <w:tcPr>
            <w:tcW w:w="11223" w:type="dxa"/>
            <w:vAlign w:val="center"/>
          </w:tcPr>
          <w:p>
            <w:pPr>
              <w:spacing w:line="360" w:lineRule="auto"/>
              <w:ind w:firstLine="46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编制有《信息交流、沟通、参与和协商控制程序》。 </w:t>
            </w:r>
          </w:p>
          <w:p>
            <w:pPr>
              <w:spacing w:line="360" w:lineRule="auto"/>
              <w:ind w:firstLine="46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组织在各部门之间建立了与体系有关的信息通渠沟道，借助于会议、电话、口头交流等方式使全体员工达到沟通和理解。目前各部门协调一致，工作上的借口基本理顺。</w:t>
            </w:r>
          </w:p>
          <w:p>
            <w:pPr>
              <w:tabs>
                <w:tab w:val="left" w:pos="9720"/>
                <w:tab w:val="left" w:pos="9900"/>
              </w:tabs>
              <w:spacing w:before="65" w:beforeLines="20" w:after="65" w:afterLines="2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w:t>
            </w:r>
            <w:r>
              <w:rPr>
                <w:rFonts w:hint="eastAsia" w:asciiTheme="minorEastAsia" w:hAnsiTheme="minorEastAsia" w:eastAsiaTheme="minorEastAsia" w:cstheme="minorEastAsia"/>
                <w:sz w:val="21"/>
                <w:szCs w:val="21"/>
                <w:lang w:eastAsia="zh-CN"/>
              </w:rPr>
              <w:t>陈建阳</w:t>
            </w:r>
            <w:r>
              <w:rPr>
                <w:rFonts w:hint="eastAsia" w:asciiTheme="minorEastAsia" w:hAnsiTheme="minorEastAsia" w:eastAsiaTheme="minorEastAsia" w:cstheme="minorEastAsia"/>
                <w:sz w:val="21"/>
                <w:szCs w:val="21"/>
              </w:rPr>
              <w:t xml:space="preserve">定期主持经营办公例会，分析公司的发展、市场情况和体系运行是否有效，管理目标完成情况，满足顾客要求和法规程度，改进建议等内部管理存在问题等。  </w:t>
            </w:r>
          </w:p>
          <w:p>
            <w:pPr>
              <w:tabs>
                <w:tab w:val="left" w:pos="9720"/>
                <w:tab w:val="left" w:pos="9900"/>
              </w:tabs>
              <w:spacing w:before="65" w:beforeLines="20" w:after="65" w:afterLines="2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w:t>
            </w:r>
            <w:r>
              <w:rPr>
                <w:rFonts w:hint="eastAsia" w:asciiTheme="minorEastAsia" w:hAnsiTheme="minorEastAsia" w:eastAsiaTheme="minorEastAsia" w:cstheme="minorEastAsia"/>
                <w:sz w:val="21"/>
                <w:szCs w:val="21"/>
                <w:lang w:eastAsia="zh-CN"/>
              </w:rPr>
              <w:t>陈建阳</w:t>
            </w:r>
            <w:r>
              <w:rPr>
                <w:rFonts w:hint="eastAsia" w:asciiTheme="minorEastAsia" w:hAnsiTheme="minorEastAsia" w:eastAsiaTheme="minorEastAsia" w:cstheme="minorEastAsia"/>
                <w:sz w:val="21"/>
                <w:szCs w:val="21"/>
              </w:rPr>
              <w:t xml:space="preserve">为协商、参与提供了时间、机会、培训、资源等保障，明确了沟通、协商、参与渠道，消除了障碍和壁垒。 </w:t>
            </w:r>
          </w:p>
          <w:p>
            <w:pPr>
              <w:tabs>
                <w:tab w:val="left" w:pos="9720"/>
                <w:tab w:val="left" w:pos="9900"/>
              </w:tabs>
              <w:spacing w:before="65" w:beforeLines="20" w:after="65" w:afterLines="2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管代</w:t>
            </w:r>
            <w:r>
              <w:rPr>
                <w:rFonts w:hint="eastAsia" w:asciiTheme="minorEastAsia" w:hAnsiTheme="minorEastAsia" w:eastAsiaTheme="minorEastAsia" w:cstheme="minorEastAsia"/>
                <w:sz w:val="21"/>
                <w:szCs w:val="21"/>
                <w:lang w:eastAsia="zh-CN"/>
              </w:rPr>
              <w:t>林森泉</w:t>
            </w:r>
            <w:r>
              <w:rPr>
                <w:rFonts w:hint="eastAsia" w:asciiTheme="minorEastAsia" w:hAnsiTheme="minorEastAsia" w:eastAsiaTheme="minorEastAsia" w:cstheme="minorEastAsia"/>
                <w:sz w:val="21"/>
                <w:szCs w:val="21"/>
              </w:rPr>
              <w:t>介绍</w:t>
            </w:r>
            <w:r>
              <w:rPr>
                <w:rFonts w:hint="eastAsia" w:asciiTheme="minorEastAsia" w:hAnsiTheme="minorEastAsia" w:eastAsiaTheme="minorEastAsia" w:cstheme="minorEastAsia"/>
                <w:sz w:val="21"/>
                <w:szCs w:val="21"/>
                <w:lang w:val="en-US" w:eastAsia="zh-CN"/>
              </w:rPr>
              <w:t>公司</w:t>
            </w:r>
            <w:r>
              <w:rPr>
                <w:rFonts w:hint="eastAsia" w:asciiTheme="minorEastAsia" w:hAnsiTheme="minorEastAsia" w:eastAsiaTheme="minorEastAsia" w:cstheme="minorEastAsia"/>
                <w:sz w:val="21"/>
                <w:szCs w:val="21"/>
              </w:rPr>
              <w:t>是一个销售公司，规模不大，人员</w:t>
            </w:r>
            <w:r>
              <w:rPr>
                <w:rFonts w:hint="eastAsia" w:asciiTheme="minorEastAsia" w:hAnsiTheme="minorEastAsia" w:eastAsiaTheme="minorEastAsia" w:cstheme="minorEastAsia"/>
                <w:sz w:val="21"/>
                <w:szCs w:val="21"/>
                <w:lang w:val="en-US" w:eastAsia="zh-CN"/>
              </w:rPr>
              <w:t>较少</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公司</w:t>
            </w:r>
            <w:r>
              <w:rPr>
                <w:rFonts w:hint="eastAsia" w:asciiTheme="minorEastAsia" w:hAnsiTheme="minorEastAsia" w:eastAsiaTheme="minorEastAsia" w:cstheme="minorEastAsia"/>
                <w:sz w:val="21"/>
                <w:szCs w:val="21"/>
              </w:rPr>
              <w:t>为各部门管理人员及非管理类工作人员明确了职责和权限，各部门管理人员及非管理类工作人员参与了环境因素和危险源辨识、风险和机遇评价和控制措施的确定，在确定相关方的需求和期望时进行了适当的协商，共同参与了质量、环境、职业健康安全方针和目标的制定和评审，共同协商如何履行法律法规要求和其他要求，在确定管理体系的监视和测量及内部审核方案和持续改进方向时进行了事先协商，如有事件发生将组织相关人员适当参与事件调查；员工根据自身要求参与了培训计划的制定，对影响管理体系的任何变更将组织相关人员进行协商并且对职业健康安全事务发表意见。日常对于</w:t>
            </w:r>
            <w:r>
              <w:rPr>
                <w:rFonts w:hint="eastAsia" w:asciiTheme="minorEastAsia" w:hAnsiTheme="minorEastAsia" w:eastAsiaTheme="minorEastAsia" w:cstheme="minorEastAsia"/>
                <w:sz w:val="21"/>
                <w:szCs w:val="21"/>
                <w:lang w:eastAsia="zh-CN"/>
              </w:rPr>
              <w:t>质量、环境、职业健康安全</w:t>
            </w:r>
            <w:r>
              <w:rPr>
                <w:rFonts w:hint="eastAsia" w:asciiTheme="minorEastAsia" w:hAnsiTheme="minorEastAsia" w:eastAsiaTheme="minorEastAsia" w:cstheme="minorEastAsia"/>
                <w:sz w:val="21"/>
                <w:szCs w:val="21"/>
              </w:rPr>
              <w:t>方面的信息主要利用会议、培训、座谈、电话、网络、收文等方式进行内外部沟通和协商。</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现场查见会议记录、通知通报、培训记录、文件签收等组织内部培训方式相关记录。</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是内外部信息交流的中心，通过会议、邮件、培训等形式进行内部交流，向外部接收各种文件传递各种报表，外部沟通联络的部门有环保部门、劳动部门、消防安全部门、质监部门、安监部门及合同方等</w:t>
            </w:r>
            <w:r>
              <w:rPr>
                <w:rFonts w:hint="eastAsia" w:asciiTheme="minorEastAsia" w:hAnsiTheme="minorEastAsia" w:eastAsiaTheme="minorEastAsia" w:cstheme="minorEastAsia"/>
                <w:sz w:val="21"/>
                <w:szCs w:val="21"/>
                <w:lang w:val="en-US" w:eastAsia="zh-CN"/>
              </w:rPr>
              <w:t>相关方</w:t>
            </w:r>
            <w:r>
              <w:rPr>
                <w:rFonts w:hint="eastAsia" w:asciiTheme="minorEastAsia" w:hAnsiTheme="minorEastAsia" w:eastAsiaTheme="minorEastAsia" w:cstheme="minorEastAsia"/>
                <w:sz w:val="21"/>
                <w:szCs w:val="21"/>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经交流：目前与环保、劳动部门的信息交流主要是参加会议、接收来文、电话、邮件等，均按要求予以传达和落实，沟通情况较好。</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相关人员能够适当参与并协商办理公司经营管理及安全事务等工作。</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现有的沟通渠道和方法能满足要求。审核中未发现</w:t>
            </w:r>
            <w:r>
              <w:rPr>
                <w:rFonts w:hint="eastAsia" w:asciiTheme="minorEastAsia" w:hAnsiTheme="minorEastAsia" w:eastAsiaTheme="minorEastAsia" w:cstheme="minorEastAsia"/>
                <w:sz w:val="21"/>
                <w:szCs w:val="21"/>
                <w:lang w:val="en-US" w:eastAsia="zh-CN"/>
              </w:rPr>
              <w:t>本部门</w:t>
            </w:r>
            <w:r>
              <w:rPr>
                <w:rFonts w:hint="eastAsia" w:asciiTheme="minorEastAsia" w:hAnsiTheme="minorEastAsia" w:eastAsiaTheme="minorEastAsia" w:cstheme="minorEastAsia"/>
                <w:sz w:val="21"/>
                <w:szCs w:val="21"/>
              </w:rPr>
              <w:t>因沟通不利</w:t>
            </w:r>
            <w:r>
              <w:rPr>
                <w:rFonts w:hint="eastAsia" w:asciiTheme="minorEastAsia" w:hAnsiTheme="minorEastAsia" w:eastAsiaTheme="minorEastAsia" w:cstheme="minorEastAsia"/>
                <w:sz w:val="21"/>
                <w:szCs w:val="21"/>
                <w:lang w:val="en-US" w:eastAsia="zh-CN"/>
              </w:rPr>
              <w:t>或</w:t>
            </w:r>
            <w:r>
              <w:rPr>
                <w:rFonts w:hint="eastAsia" w:asciiTheme="minorEastAsia" w:hAnsiTheme="minorEastAsia" w:eastAsiaTheme="minorEastAsia" w:cstheme="minorEastAsia"/>
                <w:sz w:val="21"/>
                <w:szCs w:val="21"/>
              </w:rPr>
              <w:t>不及时而造成（影响）某项工作不能正常运行的情况。</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707" w:type="dxa"/>
            <w:vAlign w:val="center"/>
          </w:tcPr>
          <w:p>
            <w:pP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 w:val="21"/>
                <w:szCs w:val="21"/>
              </w:rPr>
              <w:t>文件信息、文件控制、记录</w:t>
            </w:r>
          </w:p>
        </w:tc>
        <w:tc>
          <w:tcPr>
            <w:tcW w:w="1019"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：7.5</w:t>
            </w:r>
          </w:p>
        </w:tc>
        <w:tc>
          <w:tcPr>
            <w:tcW w:w="11223" w:type="dxa"/>
            <w:vAlign w:val="center"/>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编制了《文件控制程序》，规定了对文件的编制、审批、更新、更改、现行修订状态、文件的发放、保存、使用、借阅、复制以及外来文件的管理等进行了规定，内容满足并覆盖标准所要求的内容，符合要求。</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编制了《记录控制程序》，规定了记录的形成和收集、传递和归档、储存和处理、分类和编码、借阅等，基本符合标准控制要求。</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公司</w:t>
            </w:r>
            <w:r>
              <w:rPr>
                <w:rFonts w:hint="eastAsia" w:asciiTheme="minorEastAsia" w:hAnsiTheme="minorEastAsia" w:eastAsiaTheme="minorEastAsia" w:cstheme="minorEastAsia"/>
                <w:sz w:val="21"/>
                <w:szCs w:val="21"/>
              </w:rPr>
              <w:t>策划的</w:t>
            </w:r>
            <w:r>
              <w:rPr>
                <w:rFonts w:hint="eastAsia" w:asciiTheme="minorEastAsia" w:hAnsiTheme="minorEastAsia" w:eastAsiaTheme="minorEastAsia" w:cstheme="minorEastAsia"/>
                <w:sz w:val="21"/>
                <w:szCs w:val="21"/>
                <w:lang w:val="en-US" w:eastAsia="zh-CN"/>
              </w:rPr>
              <w:t>管理</w:t>
            </w:r>
            <w:r>
              <w:rPr>
                <w:rFonts w:hint="eastAsia" w:asciiTheme="minorEastAsia" w:hAnsiTheme="minorEastAsia" w:eastAsiaTheme="minorEastAsia" w:cstheme="minorEastAsia"/>
                <w:sz w:val="21"/>
                <w:szCs w:val="21"/>
              </w:rPr>
              <w:t>体系文件主要包括：《质量、环境、职业健康安全管理手册》，版本：A/</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；《质量、环境、职业健康安全管理体系程序文件》， 版本：A/</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《三级文件汇编》以及相关运行记录等。以上文件编制人：</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，审核人：</w:t>
            </w:r>
            <w:r>
              <w:rPr>
                <w:rFonts w:hint="eastAsia" w:asciiTheme="minorEastAsia" w:hAnsiTheme="minorEastAsia" w:eastAsiaTheme="minorEastAsia" w:cstheme="minorEastAsia"/>
                <w:sz w:val="21"/>
                <w:szCs w:val="21"/>
                <w:lang w:eastAsia="zh-CN"/>
              </w:rPr>
              <w:t>林森泉</w:t>
            </w:r>
            <w:r>
              <w:rPr>
                <w:rFonts w:hint="eastAsia" w:asciiTheme="minorEastAsia" w:hAnsiTheme="minorEastAsia" w:eastAsiaTheme="minorEastAsia" w:cstheme="minorEastAsia"/>
                <w:sz w:val="21"/>
                <w:szCs w:val="21"/>
              </w:rPr>
              <w:t>，批准人：</w:t>
            </w:r>
            <w:r>
              <w:rPr>
                <w:rFonts w:hint="eastAsia" w:asciiTheme="minorEastAsia" w:hAnsiTheme="minorEastAsia" w:eastAsiaTheme="minorEastAsia" w:cstheme="minorEastAsia"/>
                <w:sz w:val="21"/>
                <w:szCs w:val="21"/>
                <w:lang w:eastAsia="zh-CN"/>
              </w:rPr>
              <w:t>陈建阳</w:t>
            </w:r>
            <w:r>
              <w:rPr>
                <w:rFonts w:hint="eastAsia" w:asciiTheme="minorEastAsia" w:hAnsiTheme="minorEastAsia" w:eastAsiaTheme="minorEastAsia" w:cstheme="minorEastAsia"/>
                <w:sz w:val="21"/>
                <w:szCs w:val="21"/>
              </w:rPr>
              <w:t>，发布实施日期</w:t>
            </w:r>
            <w:r>
              <w:rPr>
                <w:rFonts w:hint="eastAsia" w:asciiTheme="minorEastAsia" w:hAnsiTheme="minorEastAsia" w:eastAsiaTheme="minorEastAsia" w:cstheme="minorEastAsia"/>
                <w:sz w:val="21"/>
                <w:szCs w:val="21"/>
                <w:lang w:eastAsia="zh-CN"/>
              </w:rPr>
              <w:t>2020年</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lang w:eastAsia="zh-CN"/>
              </w:rPr>
              <w:t>日</w:t>
            </w:r>
            <w:r>
              <w:rPr>
                <w:rFonts w:hint="eastAsia" w:asciiTheme="minorEastAsia" w:hAnsiTheme="minorEastAsia" w:eastAsiaTheme="minorEastAsia" w:cstheme="minorEastAsia"/>
                <w:sz w:val="21"/>
                <w:szCs w:val="21"/>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公司质量、环境、职业健康安全方针随手册一同发布，并编制环境/职业健康目标、指标与管理方案一览表，方针目标发布经过总经理批准、评审，适宜。</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公司体系文件运行良好，能够满足经营需要。根据文审提出问题，</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对手册进行了补充修订，经过验证手册和程序文件基本符合GB/T19001-2016/ISO9001:2015《质量管理体系-要求》、GB/T24001-2016 /ISO14001:2015《环境管理体系-要求及使用指南》、GB/T45001-2020/ISO45001:2018《职业健康安全管理体系-要求及使用指南》标准要求。</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见《受控文件清单》，登录有手册、程序、营销服务质量的控制规范、营销服务提供规范、火灾应急响应规范、环境保护管理办法等受控文件，包含了体系要求的成文信息，文件规定基本符合组织实际，满足标准要求。</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抽查：《三级文件汇编》、《内审控制程序》、《</w:t>
            </w:r>
            <w:r>
              <w:rPr>
                <w:rFonts w:hint="eastAsia"/>
              </w:rPr>
              <w:t>应急准备和响应控制程序</w:t>
            </w:r>
            <w:r>
              <w:rPr>
                <w:rFonts w:hint="eastAsia" w:asciiTheme="minorEastAsia" w:hAnsiTheme="minorEastAsia" w:eastAsiaTheme="minorEastAsia" w:cstheme="minorEastAsia"/>
                <w:sz w:val="21"/>
                <w:szCs w:val="21"/>
              </w:rPr>
              <w:t>》等</w:t>
            </w:r>
            <w:r>
              <w:rPr>
                <w:rFonts w:hint="eastAsia" w:asciiTheme="minorEastAsia" w:hAnsiTheme="minorEastAsia" w:eastAsiaTheme="minorEastAsia" w:cstheme="minorEastAsia"/>
                <w:sz w:val="21"/>
                <w:szCs w:val="21"/>
                <w:lang w:val="en-US" w:eastAsia="zh-CN"/>
              </w:rPr>
              <w:t>管理</w:t>
            </w:r>
            <w:r>
              <w:rPr>
                <w:rFonts w:hint="eastAsia" w:asciiTheme="minorEastAsia" w:hAnsiTheme="minorEastAsia" w:eastAsiaTheme="minorEastAsia" w:cstheme="minorEastAsia"/>
                <w:sz w:val="21"/>
                <w:szCs w:val="21"/>
              </w:rPr>
              <w:t>体系文件，均有编制、审批人员签名，符合要求。</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查文件发放情况：</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提供了《文件发放、回收记录》，所有文件均由</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发放，有管理手册、程序、作业文件及标准、法律法规等外来文件。显示文件发放均有文件名称、编号、分发号、版本，发放/回收日期等。</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查外来文件管理：</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公司对外来文件及法律法规进行了收集、识别、分发、控制。外来文件采用了统一保管、借阅使用的方法进行控制。由</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负责通过到主管部门、网上收集、标准发布部门进行购买，并对外来文件的识别、跟踪、控制。查到：《外来文件一览表》、《法律法规清单》，有：《中华人民共和国产品质量法》、《中华人民共和国</w:t>
            </w:r>
            <w:r>
              <w:rPr>
                <w:rFonts w:hint="eastAsia" w:asciiTheme="minorEastAsia" w:hAnsiTheme="minorEastAsia" w:eastAsiaTheme="minorEastAsia" w:cstheme="minorEastAsia"/>
                <w:sz w:val="21"/>
                <w:szCs w:val="21"/>
                <w:lang w:val="en-US" w:eastAsia="zh-CN"/>
              </w:rPr>
              <w:t>反不正当竞争</w:t>
            </w:r>
            <w:r>
              <w:rPr>
                <w:rFonts w:hint="eastAsia" w:asciiTheme="minorEastAsia" w:hAnsiTheme="minorEastAsia" w:eastAsiaTheme="minorEastAsia" w:cstheme="minorEastAsia"/>
                <w:sz w:val="21"/>
                <w:szCs w:val="21"/>
              </w:rPr>
              <w:t>法》</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《中华人民共和国环境保护法》、《中华人民共和国安全生产法》、《中华人民共和国道路交通安全法》等法律法规和执行标准，外来文件管理符合要求。</w:t>
            </w:r>
          </w:p>
          <w:p>
            <w:pPr>
              <w:spacing w:line="360" w:lineRule="auto"/>
              <w:ind w:firstLine="420" w:firstLineChars="200"/>
              <w:rPr>
                <w:rFonts w:hint="default"/>
                <w:lang w:val="en-US" w:eastAsia="zh-CN"/>
              </w:rPr>
            </w:pPr>
            <w:r>
              <w:rPr>
                <w:rFonts w:hint="eastAsia" w:asciiTheme="minorEastAsia" w:hAnsiTheme="minorEastAsia" w:eastAsiaTheme="minorEastAsia" w:cstheme="minorEastAsia"/>
                <w:sz w:val="21"/>
                <w:szCs w:val="21"/>
              </w:rPr>
              <w:t>查作废文件控制：自</w:t>
            </w:r>
            <w:r>
              <w:rPr>
                <w:rFonts w:hint="eastAsia" w:asciiTheme="minorEastAsia" w:hAnsiTheme="minorEastAsia" w:eastAsiaTheme="minorEastAsia" w:cstheme="minorEastAsia"/>
                <w:sz w:val="21"/>
                <w:szCs w:val="21"/>
                <w:lang w:val="en-US" w:eastAsia="zh-CN"/>
              </w:rPr>
              <w:t>管理</w:t>
            </w:r>
            <w:r>
              <w:rPr>
                <w:rFonts w:hint="eastAsia" w:asciiTheme="minorEastAsia" w:hAnsiTheme="minorEastAsia" w:eastAsiaTheme="minorEastAsia" w:cstheme="minorEastAsia"/>
                <w:sz w:val="21"/>
                <w:szCs w:val="21"/>
              </w:rPr>
              <w:t>体系运行以来，</w:t>
            </w:r>
            <w:r>
              <w:rPr>
                <w:rFonts w:hint="eastAsia" w:asciiTheme="minorEastAsia" w:hAnsiTheme="minorEastAsia" w:eastAsiaTheme="minorEastAsia" w:cstheme="minorEastAsia"/>
                <w:sz w:val="21"/>
                <w:szCs w:val="21"/>
                <w:lang w:val="en-US" w:eastAsia="zh-CN"/>
              </w:rPr>
              <w:t>于2020年3月6号因</w:t>
            </w:r>
            <w:r>
              <w:rPr>
                <w:rFonts w:hint="eastAsia" w:asciiTheme="minorEastAsia" w:hAnsiTheme="minorEastAsia" w:eastAsiaTheme="minorEastAsia" w:cstheme="minorEastAsia"/>
                <w:sz w:val="21"/>
                <w:szCs w:val="21"/>
              </w:rPr>
              <w:t>GB/T45001-2020/ISO45001:2018《职业健康安全管理体系-要求及使用指南》标准</w:t>
            </w:r>
            <w:r>
              <w:rPr>
                <w:rFonts w:hint="eastAsia" w:asciiTheme="minorEastAsia" w:hAnsiTheme="minorEastAsia" w:eastAsiaTheme="minorEastAsia" w:cstheme="minorEastAsia"/>
                <w:sz w:val="21"/>
                <w:szCs w:val="21"/>
                <w:lang w:val="en-US" w:eastAsia="zh-CN"/>
              </w:rPr>
              <w:t>实施与经营地址变更，对体系文件进行了修订</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查看《</w:t>
            </w:r>
            <w:bookmarkStart w:id="2" w:name="_Toc488772431"/>
            <w:r>
              <w:rPr>
                <w:rFonts w:ascii="Times New Roman"/>
                <w:lang w:val="en-US" w:eastAsia="zh-CN"/>
              </w:rPr>
              <w:t>文件修订记录</w:t>
            </w:r>
            <w:bookmarkEnd w:id="2"/>
            <w:r>
              <w:rPr>
                <w:rFonts w:hint="eastAsia"/>
                <w:lang w:val="en-US" w:eastAsia="zh-CN"/>
              </w:rPr>
              <w:t>》，记录完整清晰。</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现场查看组织</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文件管理情况，通过纸张、电子版形式文件化，文件名称、编号、内容等字迹清晰，标识易于识别、检索、可追溯，纸质文件存放在文件柜中，防水防潮，储存环境适宜。</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查到了《记录清单》，记录设置符合公司实施运行要求，基本包含了体系要求的相关记录；《记录清单》，内容清晰，规定了记录的名称、编号、保存期限等信息。 记录以名称、编号进行唯一性标识。</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现场查阅了记录：《</w:t>
            </w:r>
            <w:r>
              <w:rPr>
                <w:rFonts w:hint="eastAsia" w:asciiTheme="minorEastAsia" w:hAnsiTheme="minorEastAsia" w:eastAsiaTheme="minorEastAsia" w:cstheme="minorEastAsia"/>
                <w:sz w:val="21"/>
                <w:szCs w:val="21"/>
                <w:lang w:val="en-US" w:eastAsia="zh-CN"/>
              </w:rPr>
              <w:t>年度</w:t>
            </w:r>
            <w:r>
              <w:rPr>
                <w:rFonts w:hint="eastAsia" w:asciiTheme="minorEastAsia" w:hAnsiTheme="minorEastAsia" w:eastAsiaTheme="minorEastAsia" w:cstheme="minorEastAsia"/>
                <w:sz w:val="21"/>
                <w:szCs w:val="21"/>
              </w:rPr>
              <w:t>培训计划》、《</w:t>
            </w:r>
            <w:r>
              <w:rPr>
                <w:rFonts w:hint="eastAsia" w:asciiTheme="minorEastAsia" w:hAnsiTheme="minorEastAsia" w:eastAsiaTheme="minorEastAsia" w:cstheme="minorEastAsia"/>
                <w:sz w:val="21"/>
                <w:szCs w:val="21"/>
                <w:lang w:val="en-US" w:eastAsia="zh-CN"/>
              </w:rPr>
              <w:t>年度内审计划</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重要环境因素评价</w:t>
            </w:r>
            <w:r>
              <w:rPr>
                <w:rFonts w:hint="eastAsia" w:asciiTheme="minorEastAsia" w:hAnsiTheme="minorEastAsia" w:eastAsiaTheme="minorEastAsia" w:cstheme="minorEastAsia"/>
                <w:sz w:val="21"/>
                <w:szCs w:val="21"/>
              </w:rPr>
              <w:t>表》、《</w:t>
            </w:r>
            <w:r>
              <w:rPr>
                <w:rFonts w:hint="eastAsia" w:asciiTheme="minorEastAsia" w:hAnsiTheme="minorEastAsia" w:eastAsiaTheme="minorEastAsia" w:cstheme="minorEastAsia"/>
                <w:sz w:val="21"/>
                <w:szCs w:val="21"/>
                <w:lang w:val="en-US" w:eastAsia="zh-CN"/>
              </w:rPr>
              <w:t>合规评价报告</w:t>
            </w:r>
            <w:r>
              <w:rPr>
                <w:rFonts w:hint="eastAsia" w:asciiTheme="minorEastAsia" w:hAnsiTheme="minorEastAsia" w:eastAsiaTheme="minorEastAsia" w:cstheme="minorEastAsia"/>
                <w:sz w:val="21"/>
                <w:szCs w:val="21"/>
              </w:rPr>
              <w:t>》等体系运行记录，记录比较完整，内容规范全面，字迹清楚，有填表人、检查人等信息，易于检索，符合要求。</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现场察看记录存放处：各类记录分类存放，部门用记录由相关部门保管，置于文件夹或档案盒（袋）内，统一放置于文件资料柜中，干燥、通风、容易查询，记录保存方式和地点基本可以满足</w:t>
            </w:r>
            <w:r>
              <w:rPr>
                <w:rFonts w:hint="eastAsia" w:asciiTheme="minorEastAsia" w:hAnsiTheme="minorEastAsia" w:eastAsiaTheme="minorEastAsia" w:cstheme="minorEastAsia"/>
                <w:sz w:val="21"/>
                <w:szCs w:val="21"/>
                <w:lang w:eastAsia="zh-CN"/>
              </w:rPr>
              <w:t>受审核方</w:t>
            </w:r>
            <w:r>
              <w:rPr>
                <w:rFonts w:hint="eastAsia" w:asciiTheme="minorEastAsia" w:hAnsiTheme="minorEastAsia" w:eastAsiaTheme="minorEastAsia" w:cstheme="minorEastAsia"/>
                <w:sz w:val="21"/>
                <w:szCs w:val="21"/>
              </w:rPr>
              <w:t>现有的体系运行需求。</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总体来说，公司文件化信息控制基本有效。</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707" w:type="dxa"/>
            <w:vAlign w:val="center"/>
          </w:tcPr>
          <w:p>
            <w:pPr>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监视测量分析总则、分析评价</w:t>
            </w:r>
          </w:p>
          <w:p>
            <w:pPr>
              <w:rPr>
                <w:rFonts w:hint="eastAsia" w:asciiTheme="minorEastAsia" w:hAnsiTheme="minorEastAsia" w:eastAsiaTheme="minorEastAsia" w:cstheme="minorEastAsia"/>
                <w:color w:val="0000FF"/>
                <w:kern w:val="0"/>
                <w:sz w:val="21"/>
                <w:szCs w:val="21"/>
              </w:rPr>
            </w:pPr>
          </w:p>
        </w:tc>
        <w:tc>
          <w:tcPr>
            <w:tcW w:w="1019"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w:t>
            </w:r>
          </w:p>
          <w:p>
            <w:pPr>
              <w:rPr>
                <w:rFonts w:hint="eastAsia" w:asciiTheme="minorEastAsia" w:hAnsiTheme="minorEastAsia" w:eastAsiaTheme="minorEastAsia" w:cstheme="minorEastAsia"/>
                <w:color w:val="0000FF"/>
                <w:sz w:val="21"/>
                <w:szCs w:val="21"/>
              </w:rPr>
            </w:pPr>
            <w:r>
              <w:rPr>
                <w:rFonts w:hint="eastAsia" w:asciiTheme="minorEastAsia" w:hAnsiTheme="minorEastAsia" w:eastAsiaTheme="minorEastAsia" w:cstheme="minorEastAsia"/>
                <w:sz w:val="21"/>
                <w:szCs w:val="21"/>
              </w:rPr>
              <w:t xml:space="preserve">9.1.3 </w:t>
            </w:r>
          </w:p>
        </w:tc>
        <w:tc>
          <w:tcPr>
            <w:tcW w:w="11223" w:type="dxa"/>
            <w:vAlign w:val="top"/>
          </w:tcPr>
          <w:p>
            <w:pPr>
              <w:autoSpaceDE w:val="0"/>
              <w:autoSpaceDN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公司规定了管理体系相关信息的收集、汇总、分析、处理、传递的要求。</w:t>
            </w:r>
          </w:p>
          <w:p>
            <w:pPr>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公司组织各部门策划和实施必要的监视和测量活动，确保产品、体系和过程的符合性，以持续改进质量管理体系的有效性。</w:t>
            </w:r>
          </w:p>
          <w:p>
            <w:pPr>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公司的过程和</w:t>
            </w:r>
            <w:r>
              <w:rPr>
                <w:rFonts w:hint="eastAsia" w:asciiTheme="minorEastAsia" w:hAnsiTheme="minorEastAsia" w:eastAsiaTheme="minorEastAsia" w:cstheme="minorEastAsia"/>
                <w:sz w:val="21"/>
                <w:szCs w:val="21"/>
                <w:lang w:val="en-US" w:eastAsia="zh-CN"/>
              </w:rPr>
              <w:t>管理</w:t>
            </w:r>
            <w:r>
              <w:rPr>
                <w:rFonts w:hint="eastAsia" w:asciiTheme="minorEastAsia" w:hAnsiTheme="minorEastAsia" w:eastAsiaTheme="minorEastAsia" w:cstheme="minorEastAsia"/>
                <w:sz w:val="21"/>
                <w:szCs w:val="21"/>
              </w:rPr>
              <w:t>体系的监视和测量主要是通过内审、管理评审、目标考核以及日常工作</w:t>
            </w:r>
            <w:r>
              <w:rPr>
                <w:rFonts w:hint="eastAsia" w:asciiTheme="minorEastAsia" w:hAnsiTheme="minorEastAsia" w:eastAsiaTheme="minorEastAsia" w:cstheme="minorEastAsia"/>
                <w:sz w:val="21"/>
                <w:szCs w:val="21"/>
                <w:lang w:val="en-US" w:eastAsia="zh-CN"/>
              </w:rPr>
              <w:t>监测</w:t>
            </w:r>
            <w:r>
              <w:rPr>
                <w:rFonts w:hint="eastAsia" w:asciiTheme="minorEastAsia" w:hAnsiTheme="minorEastAsia" w:eastAsiaTheme="minorEastAsia" w:cstheme="minorEastAsia"/>
                <w:sz w:val="21"/>
                <w:szCs w:val="21"/>
              </w:rPr>
              <w:t>、产品检验、顾客满意度测量等的方式完成。</w:t>
            </w:r>
          </w:p>
          <w:p>
            <w:pPr>
              <w:spacing w:line="36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查见《环境和安全运行检查记录表》，从工作</w:t>
            </w:r>
            <w:r>
              <w:rPr>
                <w:rFonts w:hint="eastAsia" w:asciiTheme="minorEastAsia" w:hAnsiTheme="minorEastAsia" w:eastAsiaTheme="minorEastAsia" w:cstheme="minorEastAsia"/>
                <w:sz w:val="21"/>
                <w:szCs w:val="21"/>
                <w:lang w:val="en-US" w:eastAsia="zh-CN"/>
              </w:rPr>
              <w:t>环境</w:t>
            </w:r>
            <w:r>
              <w:rPr>
                <w:rFonts w:hint="eastAsia" w:asciiTheme="minorEastAsia" w:hAnsiTheme="minorEastAsia" w:eastAsiaTheme="minorEastAsia" w:cstheme="minorEastAsia"/>
                <w:sz w:val="21"/>
                <w:szCs w:val="21"/>
              </w:rPr>
              <w:t>、设备管理、工作进度、</w:t>
            </w:r>
            <w:r>
              <w:rPr>
                <w:rFonts w:hint="eastAsia" w:asciiTheme="minorEastAsia" w:hAnsiTheme="minorEastAsia" w:eastAsiaTheme="minorEastAsia" w:cstheme="minorEastAsia"/>
                <w:sz w:val="21"/>
                <w:szCs w:val="21"/>
                <w:lang w:val="en-US" w:eastAsia="zh-CN"/>
              </w:rPr>
              <w:t>环保、</w:t>
            </w:r>
            <w:r>
              <w:rPr>
                <w:rFonts w:hint="eastAsia" w:asciiTheme="minorEastAsia" w:hAnsiTheme="minorEastAsia" w:eastAsiaTheme="minorEastAsia" w:cstheme="minorEastAsia"/>
                <w:sz w:val="21"/>
                <w:szCs w:val="21"/>
              </w:rPr>
              <w:t>安全、操作规程遵守等</w:t>
            </w:r>
            <w:r>
              <w:rPr>
                <w:rFonts w:hint="eastAsia" w:asciiTheme="minorEastAsia" w:hAnsiTheme="minorEastAsia" w:eastAsiaTheme="minorEastAsia" w:cstheme="minorEastAsia"/>
                <w:sz w:val="21"/>
                <w:szCs w:val="21"/>
                <w:lang w:val="en-US" w:eastAsia="zh-CN"/>
              </w:rPr>
              <w:t>进行检查，发现问题及时整改，较严重及以上的执行纠正预防措施程序</w:t>
            </w:r>
            <w:r>
              <w:rPr>
                <w:rFonts w:hint="eastAsia" w:asciiTheme="minorEastAsia" w:hAnsiTheme="minorEastAsia" w:eastAsiaTheme="minorEastAsia" w:cstheme="minorEastAsia"/>
                <w:sz w:val="21"/>
                <w:szCs w:val="21"/>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负责对</w:t>
            </w:r>
            <w:r>
              <w:rPr>
                <w:rFonts w:hint="eastAsia" w:asciiTheme="minorEastAsia" w:hAnsiTheme="minorEastAsia" w:eastAsiaTheme="minorEastAsia" w:cstheme="minorEastAsia"/>
                <w:sz w:val="21"/>
                <w:szCs w:val="21"/>
                <w:lang w:val="en-US" w:eastAsia="zh-CN"/>
              </w:rPr>
              <w:t>管理</w:t>
            </w:r>
            <w:r>
              <w:rPr>
                <w:rFonts w:hint="eastAsia" w:asciiTheme="minorEastAsia" w:hAnsiTheme="minorEastAsia" w:eastAsiaTheme="minorEastAsia" w:cstheme="minorEastAsia"/>
                <w:sz w:val="21"/>
                <w:szCs w:val="21"/>
              </w:rPr>
              <w:t>体系、过程的日常监测和质量目标完成情况进行统计分析。对目标完成情况进行收集和统计分析，并制作目标完成情况统计表。</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业务部</w:t>
            </w:r>
            <w:r>
              <w:rPr>
                <w:rFonts w:hint="eastAsia" w:asciiTheme="minorEastAsia" w:hAnsiTheme="minorEastAsia" w:eastAsiaTheme="minorEastAsia" w:cstheme="minorEastAsia"/>
                <w:sz w:val="21"/>
                <w:szCs w:val="21"/>
              </w:rPr>
              <w:t>负责对供方业绩予以评价，对供方业绩实施了监视和测量，并对产品销售过程的监视和测量活动进行了策划和实施。</w:t>
            </w:r>
          </w:p>
          <w:p>
            <w:pPr>
              <w:autoSpaceDE w:val="0"/>
              <w:autoSpaceDN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业务部</w:t>
            </w:r>
            <w:r>
              <w:rPr>
                <w:rFonts w:hint="eastAsia" w:asciiTheme="minorEastAsia" w:hAnsiTheme="minorEastAsia" w:eastAsiaTheme="minorEastAsia" w:cstheme="minorEastAsia"/>
                <w:sz w:val="21"/>
                <w:szCs w:val="21"/>
              </w:rPr>
              <w:t>对顾客满意度进行了定期评价和分析。</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日常通过对市场信息、目标完成情况及适宜性、营销人员过程工作监督、产品质量检验、顾客满意对测量及反馈等作为分析评价的输入，并根据输出情况及时采取了相应措施并改进，公司针对其他信息，进行了随时利用，但是没有保持相关记录，公司已建立了信息收集的渠道，并实施，但利用深度须加强，已交流。</w:t>
            </w:r>
          </w:p>
          <w:p>
            <w:pPr>
              <w:spacing w:line="360" w:lineRule="auto"/>
              <w:ind w:firstLine="420" w:firstLineChars="200"/>
              <w:rPr>
                <w:rFonts w:hint="eastAsia" w:asciiTheme="minorEastAsia" w:hAnsiTheme="minorEastAsia" w:eastAsiaTheme="minorEastAsia" w:cstheme="minorEastAsia"/>
                <w:color w:val="0000FF"/>
                <w:sz w:val="21"/>
                <w:szCs w:val="21"/>
              </w:rPr>
            </w:pPr>
            <w:r>
              <w:rPr>
                <w:rFonts w:hint="eastAsia" w:asciiTheme="minorEastAsia" w:hAnsiTheme="minorEastAsia" w:eastAsiaTheme="minorEastAsia" w:cstheme="minorEastAsia"/>
                <w:sz w:val="21"/>
                <w:szCs w:val="21"/>
              </w:rPr>
              <w:t>公司已对管理体系的监视、测量、分析和评价进行了策划，基本能够按照要求实施。</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707" w:type="dxa"/>
            <w:vAlign w:val="center"/>
          </w:tcPr>
          <w:p>
            <w:pP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 w:val="21"/>
                <w:szCs w:val="21"/>
              </w:rPr>
              <w:t>内审</w:t>
            </w:r>
          </w:p>
        </w:tc>
        <w:tc>
          <w:tcPr>
            <w:tcW w:w="1019"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 xml:space="preserve">： 9.2  </w:t>
            </w:r>
          </w:p>
        </w:tc>
        <w:tc>
          <w:tcPr>
            <w:tcW w:w="11223" w:type="dxa"/>
            <w:vAlign w:val="center"/>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查看《内部审核程序》，经查基本符合要求。</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查由</w:t>
            </w:r>
            <w:r>
              <w:rPr>
                <w:rFonts w:hint="eastAsia" w:asciiTheme="minorEastAsia" w:hAnsiTheme="minorEastAsia" w:eastAsiaTheme="minorEastAsia" w:cstheme="minorEastAsia"/>
                <w:sz w:val="21"/>
                <w:szCs w:val="21"/>
                <w:lang w:val="en-US" w:eastAsia="zh-CN"/>
              </w:rPr>
              <w:t>陈建阳</w:t>
            </w:r>
            <w:r>
              <w:rPr>
                <w:rFonts w:hint="eastAsia" w:asciiTheme="minorEastAsia" w:hAnsiTheme="minorEastAsia" w:eastAsiaTheme="minorEastAsia" w:cstheme="minorEastAsia"/>
                <w:sz w:val="21"/>
                <w:szCs w:val="21"/>
              </w:rPr>
              <w:t>签发《内审计划》，定于</w:t>
            </w:r>
            <w:r>
              <w:rPr>
                <w:rFonts w:hint="eastAsia" w:asciiTheme="minorEastAsia" w:hAnsiTheme="minorEastAsia" w:eastAsiaTheme="minorEastAsia" w:cstheme="minorEastAsia"/>
                <w:sz w:val="21"/>
                <w:szCs w:val="21"/>
                <w:lang w:eastAsia="zh-CN"/>
              </w:rPr>
              <w:t>2020</w:t>
            </w:r>
            <w:r>
              <w:rPr>
                <w:rFonts w:hint="eastAsia" w:asciiTheme="minorEastAsia" w:hAnsiTheme="minorEastAsia" w:eastAsiaTheme="minorEastAsia" w:cstheme="minorEastAsia"/>
                <w:sz w:val="21"/>
                <w:szCs w:val="21"/>
              </w:rPr>
              <w:t>年1</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15</w:t>
            </w:r>
            <w:r>
              <w:rPr>
                <w:rFonts w:hint="eastAsia" w:asciiTheme="minorEastAsia" w:hAnsiTheme="minorEastAsia" w:eastAsiaTheme="minorEastAsia" w:cstheme="minorEastAsia"/>
                <w:sz w:val="21"/>
                <w:szCs w:val="21"/>
              </w:rPr>
              <w:t>日开展内部审核，通知规定了内审的目的、依据、审核的主要内容、审核要求、审核组成员及审核时间安排等。审核组长：</w:t>
            </w:r>
            <w:r>
              <w:rPr>
                <w:rFonts w:hint="eastAsia" w:asciiTheme="minorEastAsia" w:hAnsiTheme="minorEastAsia" w:eastAsiaTheme="minorEastAsia" w:cstheme="minorEastAsia"/>
                <w:sz w:val="21"/>
                <w:szCs w:val="21"/>
                <w:lang w:eastAsia="zh-CN"/>
              </w:rPr>
              <w:t>林森泉</w:t>
            </w:r>
            <w:r>
              <w:rPr>
                <w:rFonts w:hint="eastAsia" w:asciiTheme="minorEastAsia" w:hAnsiTheme="minorEastAsia" w:eastAsiaTheme="minorEastAsia" w:cstheme="minorEastAsia"/>
                <w:sz w:val="21"/>
                <w:szCs w:val="21"/>
              </w:rPr>
              <w:t>，组员：</w:t>
            </w:r>
            <w:r>
              <w:rPr>
                <w:rFonts w:hint="eastAsia" w:asciiTheme="minorEastAsia" w:hAnsiTheme="minorEastAsia" w:eastAsiaTheme="minorEastAsia" w:cstheme="minorEastAsia"/>
                <w:sz w:val="21"/>
                <w:szCs w:val="21"/>
                <w:lang w:val="en-US" w:eastAsia="zh-CN"/>
              </w:rPr>
              <w:t>黄惠泉</w:t>
            </w:r>
            <w:r>
              <w:rPr>
                <w:rFonts w:hint="eastAsia" w:asciiTheme="minorEastAsia" w:hAnsiTheme="minorEastAsia" w:eastAsiaTheme="minorEastAsia" w:cstheme="minorEastAsia"/>
                <w:sz w:val="21"/>
                <w:szCs w:val="21"/>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公司任命</w:t>
            </w:r>
            <w:r>
              <w:rPr>
                <w:rFonts w:hint="eastAsia" w:asciiTheme="minorEastAsia" w:hAnsiTheme="minorEastAsia" w:eastAsiaTheme="minorEastAsia" w:cstheme="minorEastAsia"/>
                <w:sz w:val="21"/>
                <w:szCs w:val="21"/>
                <w:lang w:eastAsia="zh-CN"/>
              </w:rPr>
              <w:t>林森泉</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黄惠泉</w:t>
            </w:r>
            <w:r>
              <w:rPr>
                <w:rFonts w:hint="eastAsia" w:asciiTheme="minorEastAsia" w:hAnsiTheme="minorEastAsia" w:eastAsiaTheme="minorEastAsia" w:cstheme="minorEastAsia"/>
                <w:sz w:val="21"/>
                <w:szCs w:val="21"/>
              </w:rPr>
              <w:t>为内审员。与内审员交谈，对内审要求、程序、方法基本知道。经查内审员没有审核自己的工作，内审员能力还需继续加强。</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查看内审记录，按计划实施了内审。经查有内部审核首（末）次会议签到表，公司领导层、各部门负责人参加了会议，内审员编制了内审检查表，记录基本上反映了体系运行情况，审核中共发现</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项一般不符合项，涉及</w:t>
            </w:r>
            <w:r>
              <w:rPr>
                <w:rFonts w:hint="eastAsia" w:asciiTheme="minorEastAsia" w:hAnsiTheme="minorEastAsia" w:eastAsiaTheme="minorEastAsia" w:cstheme="minorEastAsia"/>
                <w:sz w:val="21"/>
                <w:szCs w:val="21"/>
                <w:lang w:val="en-US" w:eastAsia="zh-CN"/>
              </w:rPr>
              <w:t>综合部</w:t>
            </w:r>
            <w:r>
              <w:rPr>
                <w:rFonts w:hint="eastAsia" w:asciiTheme="minorEastAsia" w:hAnsiTheme="minorEastAsia" w:eastAsiaTheme="minorEastAsia" w:cstheme="minorEastAsia"/>
                <w:sz w:val="21"/>
                <w:szCs w:val="21"/>
              </w:rPr>
              <w:t>，不符合Q/E/O</w:t>
            </w:r>
            <w:r>
              <w:rPr>
                <w:rFonts w:hint="eastAsia" w:asciiTheme="minorEastAsia" w:hAnsiTheme="minorEastAsia" w:eastAsiaTheme="minorEastAsia" w:cstheme="minorEastAsia"/>
                <w:sz w:val="21"/>
                <w:szCs w:val="21"/>
                <w:lang w:val="en-US" w:eastAsia="zh-CN"/>
              </w:rPr>
              <w:t>的7.3</w:t>
            </w:r>
            <w:r>
              <w:rPr>
                <w:rFonts w:hint="eastAsia" w:asciiTheme="minorEastAsia" w:hAnsiTheme="minorEastAsia" w:eastAsiaTheme="minorEastAsia" w:cstheme="minorEastAsia"/>
                <w:sz w:val="21"/>
                <w:szCs w:val="21"/>
              </w:rPr>
              <w:t>条款</w:t>
            </w:r>
            <w:r>
              <w:rPr>
                <w:rFonts w:hint="eastAsia" w:asciiTheme="minorEastAsia" w:hAnsiTheme="minorEastAsia" w:eastAsiaTheme="minorEastAsia" w:cstheme="minorEastAsia"/>
                <w:sz w:val="21"/>
                <w:szCs w:val="21"/>
                <w:lang w:val="en-US" w:eastAsia="zh-CN"/>
              </w:rPr>
              <w:t>与E8.1条款</w:t>
            </w:r>
            <w:r>
              <w:rPr>
                <w:rFonts w:hint="eastAsia" w:asciiTheme="minorEastAsia" w:hAnsiTheme="minorEastAsia" w:eastAsiaTheme="minorEastAsia" w:cstheme="minorEastAsia"/>
                <w:sz w:val="21"/>
                <w:szCs w:val="21"/>
              </w:rPr>
              <w:t>，并开具了不符合报告。</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查不符合项报告：内审员描述了不符合事实（</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现场审核时员工对公司</w:t>
            </w:r>
            <w:r>
              <w:rPr>
                <w:rFonts w:hint="eastAsia" w:asciiTheme="minorEastAsia" w:hAnsiTheme="minorEastAsia" w:eastAsiaTheme="minorEastAsia" w:cstheme="minorEastAsia"/>
                <w:sz w:val="21"/>
                <w:szCs w:val="21"/>
                <w:lang w:val="en-US" w:eastAsia="zh-CN"/>
              </w:rPr>
              <w:t>管理</w:t>
            </w:r>
            <w:r>
              <w:rPr>
                <w:rFonts w:hint="eastAsia" w:asciiTheme="minorEastAsia" w:hAnsiTheme="minorEastAsia" w:eastAsiaTheme="minorEastAsia" w:cstheme="minorEastAsia"/>
                <w:sz w:val="21"/>
                <w:szCs w:val="21"/>
              </w:rPr>
              <w:t>方针、目标不</w:t>
            </w:r>
            <w:r>
              <w:rPr>
                <w:rFonts w:hint="eastAsia" w:asciiTheme="minorEastAsia" w:hAnsiTheme="minorEastAsia" w:eastAsiaTheme="minorEastAsia" w:cstheme="minorEastAsia"/>
                <w:sz w:val="21"/>
                <w:szCs w:val="21"/>
                <w:lang w:val="en-US" w:eastAsia="zh-CN"/>
              </w:rPr>
              <w:t>清楚；2、办公室现场未设置垃圾分类回收装置</w:t>
            </w:r>
            <w:r>
              <w:rPr>
                <w:rFonts w:hint="eastAsia" w:asciiTheme="minorEastAsia" w:hAnsiTheme="minorEastAsia" w:eastAsiaTheme="minorEastAsia" w:cstheme="minorEastAsia"/>
                <w:sz w:val="21"/>
                <w:szCs w:val="21"/>
              </w:rPr>
              <w:t>），责任部门负责人分析了原因，并制定实施了纠正措施，完成了整改，经内审员验证，达到了规定要求。</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查看 “内审报告”，描述了审核时间、审核目的、审核方式、审核依据、审核范围、审核概况、不合格项及其分布、审核结论，对管理体系的改进建议。结论：公司的管理体系符合标准要求，体系运行有效。</w:t>
            </w:r>
          </w:p>
          <w:p>
            <w:pPr>
              <w:spacing w:line="360" w:lineRule="auto"/>
              <w:ind w:firstLine="420" w:firstLineChars="2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sz w:val="21"/>
                <w:szCs w:val="21"/>
              </w:rPr>
              <w:t>经查内部审核基本满足要求。</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707"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运行控制</w:t>
            </w:r>
          </w:p>
        </w:tc>
        <w:tc>
          <w:tcPr>
            <w:tcW w:w="1019"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：8.1</w:t>
            </w:r>
          </w:p>
        </w:tc>
        <w:tc>
          <w:tcPr>
            <w:tcW w:w="11223" w:type="dxa"/>
            <w:vAlign w:val="center"/>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公司制定并实施了《环境因素、危险源识别评价控制程序》、</w:t>
            </w:r>
            <w:r>
              <w:rPr>
                <w:rFonts w:hint="eastAsia" w:asciiTheme="minorEastAsia" w:hAnsiTheme="minorEastAsia" w:eastAsiaTheme="minorEastAsia" w:cstheme="minorEastAsia"/>
                <w:sz w:val="21"/>
                <w:szCs w:val="21"/>
                <w:lang w:eastAsia="zh-CN"/>
              </w:rPr>
              <w:t>《</w:t>
            </w:r>
            <w:r>
              <w:rPr>
                <w:rFonts w:hint="eastAsia"/>
              </w:rPr>
              <w:t>环境职业健康安全监视和测量程序</w:t>
            </w:r>
            <w:r>
              <w:rPr>
                <w:rFonts w:hint="eastAsia"/>
                <w:lang w:eastAsia="zh-CN"/>
              </w:rPr>
              <w:t>》、</w:t>
            </w:r>
            <w:r>
              <w:rPr>
                <w:rFonts w:hint="eastAsia" w:asciiTheme="minorEastAsia" w:hAnsiTheme="minorEastAsia" w:eastAsiaTheme="minorEastAsia" w:cstheme="minorEastAsia"/>
                <w:sz w:val="21"/>
                <w:szCs w:val="21"/>
              </w:rPr>
              <w:t>《</w:t>
            </w:r>
            <w:r>
              <w:rPr>
                <w:rFonts w:hint="eastAsia" w:ascii="宋体" w:hAnsi="宋体" w:eastAsia="宋体" w:cs="宋体"/>
                <w:szCs w:val="20"/>
              </w:rPr>
              <w:t>固废物管理制度</w:t>
            </w:r>
            <w:r>
              <w:rPr>
                <w:rFonts w:hint="eastAsia" w:asciiTheme="minorEastAsia" w:hAnsiTheme="minorEastAsia" w:eastAsiaTheme="minorEastAsia" w:cstheme="minorEastAsia"/>
                <w:sz w:val="21"/>
                <w:szCs w:val="21"/>
              </w:rPr>
              <w:t>》、《</w:t>
            </w:r>
            <w:r>
              <w:rPr>
                <w:rFonts w:hint="eastAsia" w:ascii="宋体" w:hAnsi="宋体" w:eastAsia="宋体" w:cs="宋体"/>
                <w:szCs w:val="18"/>
              </w:rPr>
              <w:t>消防安全管理制度</w:t>
            </w:r>
            <w:r>
              <w:rPr>
                <w:rFonts w:hint="eastAsia" w:asciiTheme="minorEastAsia" w:hAnsiTheme="minorEastAsia" w:eastAsiaTheme="minorEastAsia" w:cstheme="minorEastAsia"/>
                <w:sz w:val="21"/>
                <w:szCs w:val="21"/>
              </w:rPr>
              <w:t>》、《</w:t>
            </w:r>
            <w:r>
              <w:rPr>
                <w:rFonts w:hint="eastAsia" w:ascii="宋体" w:hAnsi="宋体" w:eastAsia="宋体" w:cs="宋体"/>
                <w:szCs w:val="16"/>
              </w:rPr>
              <w:t>相关方施加影响管理制度</w:t>
            </w:r>
            <w:r>
              <w:rPr>
                <w:rFonts w:hint="eastAsia" w:asciiTheme="minorEastAsia" w:hAnsiTheme="minorEastAsia" w:eastAsiaTheme="minorEastAsia" w:cstheme="minorEastAsia"/>
                <w:sz w:val="21"/>
                <w:szCs w:val="21"/>
              </w:rPr>
              <w:t>》、《</w:t>
            </w:r>
            <w:r>
              <w:rPr>
                <w:rFonts w:hint="eastAsia" w:ascii="宋体" w:hAnsi="宋体" w:eastAsia="宋体" w:cs="宋体"/>
                <w:szCs w:val="22"/>
              </w:rPr>
              <w:t>环境检查制度</w:t>
            </w:r>
            <w:r>
              <w:rPr>
                <w:rFonts w:hint="eastAsia" w:asciiTheme="minorEastAsia" w:hAnsiTheme="minorEastAsia" w:eastAsiaTheme="minorEastAsia" w:cstheme="minorEastAsia"/>
                <w:sz w:val="21"/>
                <w:szCs w:val="21"/>
              </w:rPr>
              <w:t>》、《</w:t>
            </w:r>
            <w:r>
              <w:rPr>
                <w:rFonts w:hint="eastAsia"/>
                <w:szCs w:val="21"/>
                <w:lang w:val="en-US" w:eastAsia="zh-CN"/>
              </w:rPr>
              <w:t>疫情预案</w:t>
            </w:r>
            <w:r>
              <w:rPr>
                <w:rFonts w:hint="eastAsia" w:asciiTheme="minorEastAsia" w:hAnsiTheme="minorEastAsia" w:eastAsiaTheme="minorEastAsia" w:cstheme="minorEastAsia"/>
                <w:sz w:val="21"/>
                <w:szCs w:val="21"/>
              </w:rPr>
              <w:t>》、《火灾应急响应规范》、《应急预案》等环境与职业健康安全控制程序和管理制度。</w:t>
            </w:r>
          </w:p>
          <w:p>
            <w:pPr>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受审核方</w:t>
            </w:r>
            <w:r>
              <w:rPr>
                <w:rFonts w:hint="eastAsia" w:asciiTheme="minorEastAsia" w:hAnsiTheme="minorEastAsia" w:eastAsiaTheme="minorEastAsia" w:cstheme="minorEastAsia"/>
                <w:sz w:val="21"/>
                <w:szCs w:val="21"/>
              </w:rPr>
              <w:t>位于</w:t>
            </w:r>
            <w:r>
              <w:rPr>
                <w:rFonts w:hint="eastAsia" w:asciiTheme="minorEastAsia" w:hAnsiTheme="minorEastAsia" w:eastAsiaTheme="minorEastAsia" w:cstheme="minorEastAsia"/>
                <w:sz w:val="21"/>
                <w:szCs w:val="21"/>
                <w:lang w:eastAsia="zh-CN"/>
              </w:rPr>
              <w:t>福建省泉州市惠安县东桥镇屿头山村屿头959号</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公司周围</w:t>
            </w:r>
            <w:r>
              <w:rPr>
                <w:rFonts w:hint="eastAsia" w:asciiTheme="minorEastAsia" w:hAnsiTheme="minorEastAsia" w:eastAsiaTheme="minorEastAsia" w:cstheme="minorEastAsia"/>
                <w:sz w:val="21"/>
                <w:szCs w:val="21"/>
              </w:rPr>
              <w:t>无重大河流、名胜古迹、医院、学校等敏感区，根据</w:t>
            </w:r>
            <w:r>
              <w:rPr>
                <w:rFonts w:hint="eastAsia" w:asciiTheme="minorEastAsia" w:hAnsiTheme="minorEastAsia" w:eastAsiaTheme="minorEastAsia" w:cstheme="minorEastAsia"/>
                <w:sz w:val="21"/>
                <w:szCs w:val="21"/>
                <w:lang w:val="en-US" w:eastAsia="zh-CN"/>
              </w:rPr>
              <w:t>管理</w:t>
            </w:r>
            <w:r>
              <w:rPr>
                <w:rFonts w:hint="eastAsia" w:asciiTheme="minorEastAsia" w:hAnsiTheme="minorEastAsia" w:eastAsiaTheme="minorEastAsia" w:cstheme="minorEastAsia"/>
                <w:sz w:val="21"/>
                <w:szCs w:val="21"/>
              </w:rPr>
              <w:t>体系运行的需要设置了</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路面</w:t>
            </w:r>
            <w:r>
              <w:rPr>
                <w:rFonts w:hint="eastAsia" w:asciiTheme="minorEastAsia" w:hAnsiTheme="minorEastAsia" w:eastAsiaTheme="minorEastAsia" w:cstheme="minorEastAsia"/>
                <w:sz w:val="21"/>
                <w:szCs w:val="21"/>
              </w:rPr>
              <w:t>平稳、畅通，无遮挡物，</w:t>
            </w:r>
            <w:r>
              <w:rPr>
                <w:rFonts w:hint="eastAsia" w:asciiTheme="minorEastAsia" w:hAnsiTheme="minorEastAsia" w:eastAsiaTheme="minorEastAsia" w:cstheme="minorEastAsia"/>
                <w:sz w:val="21"/>
                <w:szCs w:val="21"/>
                <w:lang w:val="en-US" w:eastAsia="zh-CN"/>
              </w:rPr>
              <w:t>公司</w:t>
            </w:r>
            <w:r>
              <w:rPr>
                <w:rFonts w:hint="eastAsia" w:asciiTheme="minorEastAsia" w:hAnsiTheme="minorEastAsia" w:eastAsiaTheme="minorEastAsia" w:cstheme="minorEastAsia"/>
                <w:sz w:val="21"/>
                <w:szCs w:val="21"/>
              </w:rPr>
              <w:t>内有少量绿化</w:t>
            </w:r>
            <w:r>
              <w:rPr>
                <w:rFonts w:hint="eastAsia" w:asciiTheme="minorEastAsia" w:hAnsiTheme="minorEastAsia" w:eastAsiaTheme="minorEastAsia" w:cstheme="minorEastAsia"/>
                <w:sz w:val="21"/>
                <w:szCs w:val="21"/>
                <w:lang w:val="en-US" w:eastAsia="zh-CN"/>
              </w:rPr>
              <w:t>花木</w:t>
            </w:r>
            <w:r>
              <w:rPr>
                <w:rFonts w:hint="eastAsia" w:asciiTheme="minorEastAsia" w:hAnsiTheme="minorEastAsia" w:eastAsiaTheme="minorEastAsia" w:cstheme="minorEastAsia"/>
                <w:sz w:val="21"/>
                <w:szCs w:val="21"/>
              </w:rPr>
              <w:t>和树木，有垃圾桶。</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员工具备了基本的环保和职业健康安全防护意识。</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按公司要求人走关灯，</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电脑要求人走后电源切断。</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垃圾主要包含废纸</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废</w:t>
            </w:r>
            <w:r>
              <w:rPr>
                <w:rFonts w:hint="eastAsia" w:asciiTheme="minorEastAsia" w:hAnsiTheme="minorEastAsia" w:eastAsiaTheme="minorEastAsia" w:cstheme="minorEastAsia"/>
                <w:sz w:val="21"/>
                <w:szCs w:val="21"/>
              </w:rPr>
              <w:t>硒鼓</w:t>
            </w:r>
            <w:r>
              <w:rPr>
                <w:rFonts w:hint="eastAsia" w:asciiTheme="minorEastAsia" w:hAnsiTheme="minorEastAsia" w:eastAsiaTheme="minorEastAsia" w:cstheme="minorEastAsia"/>
                <w:sz w:val="21"/>
                <w:szCs w:val="21"/>
                <w:lang w:val="en-US" w:eastAsia="zh-CN"/>
              </w:rPr>
              <w:t>等</w:t>
            </w:r>
            <w:r>
              <w:rPr>
                <w:rFonts w:hint="eastAsia" w:asciiTheme="minorEastAsia" w:hAnsiTheme="minorEastAsia" w:eastAsiaTheme="minorEastAsia" w:cstheme="minorEastAsia"/>
                <w:sz w:val="21"/>
                <w:szCs w:val="21"/>
              </w:rPr>
              <w:t>。公司配置了垃圾箱，</w:t>
            </w:r>
            <w:r>
              <w:rPr>
                <w:rFonts w:hint="eastAsia" w:asciiTheme="minorEastAsia" w:hAnsiTheme="minorEastAsia" w:eastAsiaTheme="minorEastAsia" w:cstheme="minorEastAsia"/>
                <w:sz w:val="21"/>
                <w:szCs w:val="21"/>
                <w:lang w:val="en-US" w:eastAsia="zh-CN"/>
              </w:rPr>
              <w:t>由政府环卫部门</w:t>
            </w:r>
            <w:r>
              <w:rPr>
                <w:rFonts w:hint="eastAsia" w:asciiTheme="minorEastAsia" w:hAnsiTheme="minorEastAsia" w:eastAsiaTheme="minorEastAsia" w:cstheme="minorEastAsia"/>
                <w:sz w:val="21"/>
                <w:szCs w:val="21"/>
              </w:rPr>
              <w:t>统一</w:t>
            </w:r>
            <w:r>
              <w:rPr>
                <w:rFonts w:hint="eastAsia" w:asciiTheme="minorEastAsia" w:hAnsiTheme="minorEastAsia" w:eastAsiaTheme="minorEastAsia" w:cstheme="minorEastAsia"/>
                <w:sz w:val="21"/>
                <w:szCs w:val="21"/>
                <w:lang w:val="en-US" w:eastAsia="zh-CN"/>
              </w:rPr>
              <w:t>集中</w:t>
            </w:r>
            <w:r>
              <w:rPr>
                <w:rFonts w:hint="eastAsia" w:asciiTheme="minorEastAsia" w:hAnsiTheme="minorEastAsia" w:eastAsiaTheme="minorEastAsia" w:cstheme="minorEastAsia"/>
                <w:sz w:val="21"/>
                <w:szCs w:val="21"/>
              </w:rPr>
              <w:t>处理。</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办公内主要是电的使用，电器有漏电保护器，经常对电路、电源进行检查，没有露电现象发生。</w:t>
            </w:r>
          </w:p>
          <w:p>
            <w:pPr>
              <w:spacing w:line="360" w:lineRule="auto"/>
              <w:ind w:firstLine="420" w:firstLineChars="200"/>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查到劳保用品</w:t>
            </w:r>
            <w:r>
              <w:rPr>
                <w:rFonts w:hint="eastAsia" w:asciiTheme="minorEastAsia" w:hAnsiTheme="minorEastAsia" w:eastAsiaTheme="minorEastAsia" w:cstheme="minorEastAsia"/>
                <w:sz w:val="21"/>
                <w:szCs w:val="21"/>
                <w:lang w:val="en-US" w:eastAsia="zh-CN"/>
              </w:rPr>
              <w:t>有</w:t>
            </w:r>
            <w:r>
              <w:rPr>
                <w:rFonts w:hint="eastAsia" w:asciiTheme="minorEastAsia" w:hAnsiTheme="minorEastAsia" w:eastAsiaTheme="minorEastAsia" w:cstheme="minorEastAsia"/>
                <w:sz w:val="21"/>
                <w:szCs w:val="21"/>
              </w:rPr>
              <w:t>口罩、洗衣粉、卫生纸</w:t>
            </w:r>
            <w:r>
              <w:rPr>
                <w:rFonts w:hint="eastAsia" w:asciiTheme="minorEastAsia" w:hAnsiTheme="minorEastAsia" w:eastAsiaTheme="minorEastAsia" w:cstheme="minorEastAsia"/>
                <w:sz w:val="21"/>
                <w:szCs w:val="21"/>
                <w:lang w:val="en-US" w:eastAsia="zh-CN"/>
              </w:rPr>
              <w:t>等</w:t>
            </w:r>
            <w:r>
              <w:rPr>
                <w:rFonts w:hint="eastAsia" w:asciiTheme="minorEastAsia" w:hAnsiTheme="minorEastAsia" w:eastAsiaTheme="minorEastAsia" w:cstheme="minorEastAsia"/>
                <w:sz w:val="21"/>
                <w:szCs w:val="21"/>
              </w:rPr>
              <w:t>；发放人：</w:t>
            </w:r>
            <w:r>
              <w:rPr>
                <w:rFonts w:hint="eastAsia" w:asciiTheme="minorEastAsia" w:hAnsiTheme="minorEastAsia" w:eastAsiaTheme="minorEastAsia" w:cstheme="minorEastAsia"/>
                <w:sz w:val="21"/>
                <w:szCs w:val="21"/>
                <w:lang w:val="en-US" w:eastAsia="zh-CN"/>
              </w:rPr>
              <w:t>林森泉，未见发放记录。</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对废弃物，一部分由厂家回收，厂家不回收的公司统一回收再利用或由物资回收公司处理。不可回收的废弃物由公司</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统一处理，各部门不得单独处理。</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查见环保安全财务支出明细，</w:t>
            </w:r>
            <w:r>
              <w:rPr>
                <w:rFonts w:hint="eastAsia" w:asciiTheme="minorEastAsia" w:hAnsiTheme="minorEastAsia" w:eastAsiaTheme="minorEastAsia" w:cstheme="minorEastAsia"/>
                <w:sz w:val="21"/>
                <w:szCs w:val="21"/>
                <w:lang w:eastAsia="zh-CN"/>
              </w:rPr>
              <w:t>2020</w:t>
            </w:r>
            <w:r>
              <w:rPr>
                <w:rFonts w:hint="eastAsia" w:asciiTheme="minorEastAsia" w:hAnsiTheme="minorEastAsia" w:eastAsiaTheme="minorEastAsia" w:cstheme="minorEastAsia"/>
                <w:sz w:val="21"/>
                <w:szCs w:val="21"/>
              </w:rPr>
              <w:t>年1月</w:t>
            </w:r>
            <w:r>
              <w:rPr>
                <w:rFonts w:hint="eastAsia" w:asciiTheme="minorEastAsia" w:hAnsiTheme="minorEastAsia" w:eastAsiaTheme="minorEastAsia" w:cstheme="minorEastAsia"/>
                <w:sz w:val="21"/>
                <w:szCs w:val="21"/>
                <w:lang w:val="en-US" w:eastAsia="zh-CN"/>
              </w:rPr>
              <w:t>至今</w:t>
            </w:r>
            <w:r>
              <w:rPr>
                <w:rFonts w:hint="eastAsia" w:asciiTheme="minorEastAsia" w:hAnsiTheme="minorEastAsia" w:eastAsiaTheme="minorEastAsia" w:cstheme="minorEastAsia"/>
                <w:sz w:val="21"/>
                <w:szCs w:val="21"/>
              </w:rPr>
              <w:t>统计，至今支出约</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万元。</w:t>
            </w:r>
          </w:p>
          <w:p>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社保。提供2020.1-10月共缴纳社保费168000元。</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办公纸张尽量采取双面打印，人走灯灭，定期检查水管跑冒滴漏。</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现场巡视办公区域灭火器正常，电线、电气插座完整，未见隐患。</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查对供方、承包商、外包方等外来人员和临时人员的管理：</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主任对外来人员和临时人员进行告知，本公司禁止吸烟，不得到处走动，需遵守公司的规章制度。审核现场未发现外来人员和临时人员来厂的情况。</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体系运行以来未发生过变更，对变更的一些注意事项和要求已明确。</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部门运行控制基本符合规定要求。</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707"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应急准备和响应</w:t>
            </w:r>
          </w:p>
        </w:tc>
        <w:tc>
          <w:tcPr>
            <w:tcW w:w="1019"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：8.2</w:t>
            </w:r>
          </w:p>
        </w:tc>
        <w:tc>
          <w:tcPr>
            <w:tcW w:w="11223" w:type="dxa"/>
            <w:vAlign w:val="top"/>
          </w:tcPr>
          <w:p>
            <w:pPr>
              <w:tabs>
                <w:tab w:val="left" w:pos="6597"/>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编制了《应急准备和响应控制程序》，确定的紧急情况有：火灾、</w:t>
            </w:r>
            <w:r>
              <w:rPr>
                <w:rFonts w:hint="eastAsia" w:asciiTheme="minorEastAsia" w:hAnsiTheme="minorEastAsia" w:eastAsiaTheme="minorEastAsia" w:cstheme="minorEastAsia"/>
                <w:bCs/>
                <w:sz w:val="21"/>
                <w:szCs w:val="21"/>
              </w:rPr>
              <w:t>触电、人员伤亡等，</w:t>
            </w:r>
            <w:r>
              <w:rPr>
                <w:rFonts w:hint="eastAsia" w:asciiTheme="minorEastAsia" w:hAnsiTheme="minorEastAsia" w:eastAsiaTheme="minorEastAsia" w:cstheme="minorEastAsia"/>
                <w:sz w:val="21"/>
                <w:szCs w:val="21"/>
              </w:rPr>
              <w:t>提供了这几种紧急情况的《应急预案》。</w:t>
            </w:r>
          </w:p>
          <w:p>
            <w:pPr>
              <w:tabs>
                <w:tab w:val="left" w:pos="6597"/>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查看火灾《应急预案》，其中包括目的、适用范围、职责、应急处理细则、演习、必备资料等，相关内容基本充分。编制：</w:t>
            </w:r>
            <w:r>
              <w:rPr>
                <w:rFonts w:hint="eastAsia" w:asciiTheme="minorEastAsia" w:hAnsiTheme="minorEastAsia" w:eastAsiaTheme="minorEastAsia" w:cstheme="minorEastAsia"/>
                <w:sz w:val="21"/>
                <w:szCs w:val="21"/>
                <w:lang w:eastAsia="zh-CN"/>
              </w:rPr>
              <w:t>林森泉</w:t>
            </w:r>
            <w:r>
              <w:rPr>
                <w:rFonts w:hint="eastAsia" w:asciiTheme="minorEastAsia" w:hAnsiTheme="minorEastAsia" w:eastAsiaTheme="minorEastAsia" w:cstheme="minorEastAsia"/>
                <w:sz w:val="21"/>
                <w:szCs w:val="21"/>
              </w:rPr>
              <w:t>，批准：</w:t>
            </w:r>
            <w:r>
              <w:rPr>
                <w:rFonts w:hint="eastAsia" w:asciiTheme="minorEastAsia" w:hAnsiTheme="minorEastAsia" w:eastAsiaTheme="minorEastAsia" w:cstheme="minorEastAsia"/>
                <w:sz w:val="21"/>
                <w:szCs w:val="21"/>
                <w:lang w:eastAsia="zh-CN"/>
              </w:rPr>
              <w:t>陈建阳</w:t>
            </w:r>
            <w:r>
              <w:rPr>
                <w:rFonts w:hint="eastAsia" w:asciiTheme="minorEastAsia" w:hAnsiTheme="minorEastAsia" w:eastAsiaTheme="minorEastAsia" w:cstheme="minorEastAsia"/>
                <w:sz w:val="21"/>
                <w:szCs w:val="21"/>
              </w:rPr>
              <w:t xml:space="preserve"> </w:t>
            </w:r>
          </w:p>
          <w:p>
            <w:pPr>
              <w:tabs>
                <w:tab w:val="left" w:pos="6597"/>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应急设施配置：在仓库内、办公场所内配备了灭火器消防设施，均在有效期内，状态良好。</w:t>
            </w:r>
          </w:p>
          <w:p>
            <w:pPr>
              <w:tabs>
                <w:tab w:val="left" w:pos="6597"/>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w:t>
            </w:r>
            <w:r>
              <w:rPr>
                <w:rFonts w:hint="eastAsia" w:asciiTheme="minorEastAsia" w:hAnsiTheme="minorEastAsia" w:eastAsiaTheme="minorEastAsia" w:cstheme="minorEastAsia"/>
                <w:sz w:val="21"/>
                <w:szCs w:val="21"/>
                <w:lang w:eastAsia="zh-CN"/>
              </w:rPr>
              <w:t>2020</w:t>
            </w:r>
            <w:r>
              <w:rPr>
                <w:rFonts w:hint="eastAsia" w:asciiTheme="minorEastAsia" w:hAnsiTheme="minorEastAsia" w:eastAsiaTheme="minorEastAsia" w:cstheme="minorEastAsia"/>
                <w:sz w:val="21"/>
                <w:szCs w:val="21"/>
                <w:lang w:val="en-US" w:eastAsia="zh-CN"/>
              </w:rPr>
              <w:t>-09-20</w:t>
            </w:r>
            <w:r>
              <w:rPr>
                <w:rFonts w:hint="eastAsia" w:asciiTheme="minorEastAsia" w:hAnsiTheme="minorEastAsia" w:eastAsiaTheme="minorEastAsia" w:cstheme="minorEastAsia"/>
                <w:sz w:val="21"/>
                <w:szCs w:val="21"/>
              </w:rPr>
              <w:t>进行的“应急预案演练记录”，包括预案名称：消防应急预案；演练地点：仓库门口空地；组织部门：</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；总指挥：</w:t>
            </w:r>
            <w:r>
              <w:rPr>
                <w:rFonts w:hint="eastAsia" w:asciiTheme="minorEastAsia" w:hAnsiTheme="minorEastAsia" w:eastAsiaTheme="minorEastAsia" w:cstheme="minorEastAsia"/>
                <w:sz w:val="21"/>
                <w:szCs w:val="21"/>
                <w:lang w:eastAsia="zh-CN"/>
              </w:rPr>
              <w:t>林森泉</w:t>
            </w:r>
            <w:r>
              <w:rPr>
                <w:rFonts w:hint="eastAsia" w:asciiTheme="minorEastAsia" w:hAnsiTheme="minorEastAsia" w:eastAsiaTheme="minorEastAsia" w:cstheme="minorEastAsia"/>
                <w:sz w:val="21"/>
                <w:szCs w:val="21"/>
              </w:rPr>
              <w:t>；演练时间：</w:t>
            </w:r>
            <w:r>
              <w:rPr>
                <w:rFonts w:hint="eastAsia" w:asciiTheme="minorEastAsia" w:hAnsiTheme="minorEastAsia" w:eastAsiaTheme="minorEastAsia" w:cstheme="minorEastAsia"/>
                <w:sz w:val="21"/>
                <w:szCs w:val="21"/>
                <w:lang w:eastAsia="zh-CN"/>
              </w:rPr>
              <w:t>2020</w:t>
            </w:r>
            <w:r>
              <w:rPr>
                <w:rFonts w:hint="eastAsia" w:asciiTheme="minorEastAsia" w:hAnsiTheme="minorEastAsia" w:eastAsiaTheme="minorEastAsia" w:cstheme="minorEastAsia"/>
                <w:sz w:val="21"/>
                <w:szCs w:val="21"/>
                <w:lang w:val="en-US" w:eastAsia="zh-CN"/>
              </w:rPr>
              <w:t>-09-20</w:t>
            </w:r>
            <w:r>
              <w:rPr>
                <w:rFonts w:hint="eastAsia" w:asciiTheme="minorEastAsia" w:hAnsiTheme="minorEastAsia" w:eastAsiaTheme="minorEastAsia" w:cstheme="minorEastAsia"/>
                <w:sz w:val="21"/>
                <w:szCs w:val="21"/>
              </w:rPr>
              <w:t>；参加部门和单位：</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业务部</w:t>
            </w:r>
            <w:r>
              <w:rPr>
                <w:rFonts w:hint="eastAsia" w:asciiTheme="minorEastAsia" w:hAnsiTheme="minorEastAsia" w:eastAsiaTheme="minorEastAsia" w:cstheme="minorEastAsia"/>
                <w:sz w:val="21"/>
                <w:szCs w:val="21"/>
                <w:lang w:val="en-US" w:eastAsia="zh-CN"/>
              </w:rPr>
              <w:t>主要</w:t>
            </w:r>
            <w:r>
              <w:rPr>
                <w:rFonts w:hint="eastAsia" w:asciiTheme="minorEastAsia" w:hAnsiTheme="minorEastAsia" w:eastAsiaTheme="minorEastAsia" w:cstheme="minorEastAsia"/>
                <w:sz w:val="21"/>
                <w:szCs w:val="21"/>
              </w:rPr>
              <w:t>人员；演练类别：实际演练、部分预案；实际演练部分：灭火器使用，初期火灾扑灭。</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演练后对应急预案进行了评价，符合要求不需要修订，评价人</w:t>
            </w:r>
            <w:r>
              <w:rPr>
                <w:rFonts w:hint="eastAsia" w:asciiTheme="minorEastAsia" w:hAnsiTheme="minorEastAsia" w:eastAsiaTheme="minorEastAsia" w:cstheme="minorEastAsia"/>
                <w:sz w:val="21"/>
                <w:szCs w:val="21"/>
                <w:lang w:eastAsia="zh-CN"/>
              </w:rPr>
              <w:t>陈建辉</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林森泉</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陈建阳</w:t>
            </w:r>
            <w:r>
              <w:rPr>
                <w:rFonts w:hint="eastAsia" w:asciiTheme="minorEastAsia" w:hAnsiTheme="minorEastAsia" w:eastAsiaTheme="minorEastAsia" w:cstheme="minorEastAsia"/>
                <w:sz w:val="21"/>
                <w:szCs w:val="21"/>
              </w:rPr>
              <w:t>。</w:t>
            </w:r>
          </w:p>
          <w:p>
            <w:pPr>
              <w:tabs>
                <w:tab w:val="left" w:pos="6597"/>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自体系运行以来尚未发生紧急情况。</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4" w:hRule="atLeast"/>
        </w:trPr>
        <w:tc>
          <w:tcPr>
            <w:tcW w:w="1707"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环境因素、危险源</w:t>
            </w:r>
          </w:p>
        </w:tc>
        <w:tc>
          <w:tcPr>
            <w:tcW w:w="1019"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6.1.2</w:t>
            </w:r>
          </w:p>
        </w:tc>
        <w:tc>
          <w:tcPr>
            <w:tcW w:w="11223" w:type="dxa"/>
            <w:vAlign w:val="center"/>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lang w:eastAsia="zh-CN"/>
              </w:rPr>
              <w:t>综合部</w:t>
            </w:r>
            <w:r>
              <w:rPr>
                <w:rFonts w:hint="eastAsia" w:asciiTheme="minorEastAsia" w:hAnsiTheme="minorEastAsia" w:eastAsiaTheme="minorEastAsia" w:cstheme="minorEastAsia"/>
                <w:bCs/>
                <w:sz w:val="21"/>
                <w:szCs w:val="21"/>
              </w:rPr>
              <w:t>作为环境和职业健康安全管理体系的主控</w:t>
            </w:r>
            <w:r>
              <w:rPr>
                <w:rFonts w:hint="eastAsia" w:asciiTheme="minorEastAsia" w:hAnsiTheme="minorEastAsia" w:eastAsiaTheme="minorEastAsia" w:cstheme="minorEastAsia"/>
                <w:sz w:val="21"/>
                <w:szCs w:val="21"/>
              </w:rPr>
              <w:t>部门，主要负责识别评价相关的环境因素及危险源，查有：《</w:t>
            </w:r>
            <w:r>
              <w:rPr>
                <w:rFonts w:hint="eastAsia"/>
              </w:rPr>
              <w:t>环境因素、危险源识别评价控制程序</w:t>
            </w:r>
            <w:r>
              <w:rPr>
                <w:rFonts w:hint="eastAsia" w:asciiTheme="minorEastAsia" w:hAnsiTheme="minorEastAsia" w:eastAsiaTheme="minorEastAsia" w:cstheme="minorEastAsia"/>
                <w:sz w:val="21"/>
                <w:szCs w:val="21"/>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查《环境因素调查评价表 》，识别考虑了正常、异常</w:t>
            </w:r>
            <w:r>
              <w:rPr>
                <w:rFonts w:hint="eastAsia" w:asciiTheme="minorEastAsia" w:hAnsiTheme="minorEastAsia" w:eastAsiaTheme="minorEastAsia" w:cstheme="minorEastAsia"/>
                <w:bCs/>
                <w:sz w:val="21"/>
                <w:szCs w:val="21"/>
                <w:lang w:val="en-US" w:eastAsia="zh-CN"/>
              </w:rPr>
              <w:t>情况</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针对</w:t>
            </w:r>
            <w:r>
              <w:rPr>
                <w:rFonts w:hint="eastAsia" w:asciiTheme="minorEastAsia" w:hAnsiTheme="minorEastAsia" w:eastAsiaTheme="minorEastAsia" w:cstheme="minorEastAsia"/>
                <w:bCs/>
                <w:sz w:val="21"/>
                <w:szCs w:val="21"/>
              </w:rPr>
              <w:t>现在</w:t>
            </w:r>
            <w:r>
              <w:rPr>
                <w:rFonts w:hint="eastAsia" w:asciiTheme="minorEastAsia" w:hAnsiTheme="minorEastAsia" w:eastAsiaTheme="minorEastAsia" w:cstheme="minorEastAsia"/>
                <w:bCs/>
                <w:sz w:val="21"/>
                <w:szCs w:val="21"/>
                <w:lang w:val="en-US" w:eastAsia="zh-CN"/>
              </w:rPr>
              <w:t>一</w:t>
            </w:r>
            <w:r>
              <w:rPr>
                <w:rFonts w:hint="eastAsia" w:asciiTheme="minorEastAsia" w:hAnsiTheme="minorEastAsia" w:eastAsiaTheme="minorEastAsia" w:cstheme="minorEastAsia"/>
                <w:bCs/>
                <w:sz w:val="21"/>
                <w:szCs w:val="21"/>
              </w:rPr>
              <w:t>种时态，考虑了供方、客户等可施加影响的环境因素。其中办公主要有水、电、纸张资源及生活固废等，识别时能考虑产品生命周期观点。</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涉及本部门的环境因素有办公活动中生活垃圾排放、汽车维修固废排放、纸张等办公废品排放、墨盒、废旧电池等废品排放、火灾事故发生等。</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查《重要环境因素清单》，评价出固体废弃物排放、火灾事故的发生等2项重要环境因素。</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经评价本部门的重要环境因素为日常办公过程中固体废弃物排放、火灾事故的发生等2项重要环境因素。</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控制措施：固废分类存放、办公危废交耗材供应公司，垃圾由环卫部门拉走，包装物分类卖掉，日常检查，日常培训教育，消防配备消防器材</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应急演练</w:t>
            </w:r>
            <w:r>
              <w:rPr>
                <w:rFonts w:hint="eastAsia" w:asciiTheme="minorEastAsia" w:hAnsiTheme="minorEastAsia" w:eastAsiaTheme="minorEastAsia" w:cstheme="minorEastAsia"/>
                <w:sz w:val="21"/>
                <w:szCs w:val="21"/>
              </w:rPr>
              <w:t>等措施。</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查《危险源辩识及风险评价表》，识别办公</w:t>
            </w:r>
            <w:r>
              <w:rPr>
                <w:rFonts w:hint="eastAsia" w:asciiTheme="minorEastAsia" w:hAnsiTheme="minorEastAsia" w:eastAsiaTheme="minorEastAsia" w:cstheme="minorEastAsia"/>
                <w:sz w:val="21"/>
                <w:szCs w:val="21"/>
                <w:lang w:val="en-US" w:eastAsia="zh-CN"/>
              </w:rPr>
              <w:t>等</w:t>
            </w:r>
            <w:r>
              <w:rPr>
                <w:rFonts w:hint="eastAsia" w:asciiTheme="minorEastAsia" w:hAnsiTheme="minorEastAsia" w:eastAsiaTheme="minorEastAsia" w:cstheme="minorEastAsia"/>
                <w:sz w:val="21"/>
                <w:szCs w:val="21"/>
              </w:rPr>
              <w:t>活动过程中的危险源。包括办公等过程中的办公设备使用、办公车辆使用等使用不当导致人身伤害、外来人员安全措施不当造成的火灾和人身伤害，</w:t>
            </w:r>
            <w:r>
              <w:rPr>
                <w:rFonts w:hint="eastAsia" w:asciiTheme="minorEastAsia" w:hAnsiTheme="minorEastAsia" w:eastAsiaTheme="minorEastAsia" w:cstheme="minorEastAsia"/>
                <w:sz w:val="21"/>
                <w:szCs w:val="21"/>
                <w:lang w:val="en-US" w:eastAsia="zh-CN"/>
              </w:rPr>
              <w:t>交通</w:t>
            </w:r>
            <w:r>
              <w:rPr>
                <w:rFonts w:hint="eastAsia" w:asciiTheme="minorEastAsia" w:hAnsiTheme="minorEastAsia" w:eastAsiaTheme="minorEastAsia" w:cstheme="minorEastAsia"/>
                <w:sz w:val="21"/>
                <w:szCs w:val="21"/>
              </w:rPr>
              <w:t>事故等。</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涉及本部门的危险源有办公活动过程中电脑辐射、被桌柜撞伤、线路老化</w:t>
            </w:r>
            <w:r>
              <w:rPr>
                <w:rFonts w:hint="eastAsia" w:asciiTheme="minorEastAsia" w:hAnsiTheme="minorEastAsia" w:eastAsiaTheme="minorEastAsia" w:cstheme="minorEastAsia"/>
                <w:sz w:val="21"/>
                <w:szCs w:val="21"/>
                <w:lang w:val="en-US" w:eastAsia="zh-CN"/>
              </w:rPr>
              <w:t>导致火灾或触电</w:t>
            </w:r>
            <w:r>
              <w:rPr>
                <w:rFonts w:hint="eastAsia" w:asciiTheme="minorEastAsia" w:hAnsiTheme="minorEastAsia" w:eastAsiaTheme="minorEastAsia" w:cstheme="minorEastAsia"/>
                <w:sz w:val="21"/>
                <w:szCs w:val="21"/>
              </w:rPr>
              <w:t>，外来人员安全措施不当造成的火灾和人身伤害等。</w:t>
            </w:r>
          </w:p>
          <w:p>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查《不可接受风险清单》，评价出重大危险源</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个，包括：火灾、人员伤害</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疫情伤害</w:t>
            </w:r>
            <w:r>
              <w:rPr>
                <w:rFonts w:hint="eastAsia" w:asciiTheme="minorEastAsia" w:hAnsiTheme="minorEastAsia" w:eastAsiaTheme="minorEastAsia" w:cstheme="minorEastAsia"/>
                <w:sz w:val="21"/>
                <w:szCs w:val="21"/>
              </w:rPr>
              <w:t>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制订了相应的管理方案并已实施。</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危险源控制执行管理方案、配备消防器材、个体防护、日常检查、日常培训教育等运行控制措施等。</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07" w:type="dxa"/>
            <w:vAlign w:val="top"/>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合规义务</w:t>
            </w:r>
          </w:p>
        </w:tc>
        <w:tc>
          <w:tcPr>
            <w:tcW w:w="1019"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6.1.3</w:t>
            </w:r>
            <w:r>
              <w:rPr>
                <w:rFonts w:hint="eastAsia" w:asciiTheme="minorEastAsia" w:hAnsiTheme="minorEastAsia" w:eastAsiaTheme="minorEastAsia" w:cstheme="minorEastAsia"/>
                <w:bCs/>
                <w:sz w:val="21"/>
                <w:szCs w:val="21"/>
              </w:rPr>
              <w:t xml:space="preserve"> </w:t>
            </w:r>
          </w:p>
        </w:tc>
        <w:tc>
          <w:tcPr>
            <w:tcW w:w="11223" w:type="dxa"/>
            <w:vAlign w:val="center"/>
          </w:tcPr>
          <w:p>
            <w:pPr>
              <w:tabs>
                <w:tab w:val="left" w:pos="6597"/>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建立实施了《</w:t>
            </w:r>
            <w:r>
              <w:rPr>
                <w:rFonts w:hint="eastAsia"/>
              </w:rPr>
              <w:t>法津法规及其他要求的获取与识别程序</w:t>
            </w:r>
            <w:r>
              <w:rPr>
                <w:rFonts w:hint="eastAsia" w:asciiTheme="minorEastAsia" w:hAnsiTheme="minorEastAsia" w:eastAsiaTheme="minorEastAsia" w:cstheme="minorEastAsia"/>
                <w:sz w:val="21"/>
                <w:szCs w:val="21"/>
              </w:rPr>
              <w:t>》。</w:t>
            </w:r>
          </w:p>
          <w:p>
            <w:pPr>
              <w:tabs>
                <w:tab w:val="left" w:pos="6597"/>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提供</w:t>
            </w:r>
            <w:r>
              <w:rPr>
                <w:rFonts w:hint="eastAsia" w:asciiTheme="minorEastAsia" w:hAnsiTheme="minorEastAsia" w:eastAsiaTheme="minorEastAsia" w:cstheme="minorEastAsia"/>
                <w:sz w:val="21"/>
                <w:szCs w:val="21"/>
              </w:rPr>
              <w:t>《 环境法律法规清单（合规性评价表）》</w:t>
            </w:r>
            <w:r>
              <w:rPr>
                <w:rFonts w:hint="eastAsia" w:asciiTheme="minorEastAsia" w:hAnsiTheme="minorEastAsia" w:eastAsiaTheme="minorEastAsia" w:cstheme="minorEastAsia"/>
                <w:sz w:val="21"/>
                <w:szCs w:val="21"/>
                <w:lang w:val="en-US" w:eastAsia="zh-CN"/>
              </w:rPr>
              <w:t>和《职业健康安全法规清单（合规评价表)》</w:t>
            </w:r>
            <w:r>
              <w:rPr>
                <w:rFonts w:hint="eastAsia" w:asciiTheme="minorEastAsia" w:hAnsiTheme="minorEastAsia" w:eastAsiaTheme="minorEastAsia" w:cstheme="minorEastAsia"/>
                <w:sz w:val="21"/>
                <w:szCs w:val="21"/>
              </w:rPr>
              <w:t>，其中包括：《中华人民共和国环境保护法》、《中华人民共和国固体废弃物污染环境防治法》、《中华人民共和国环境噪声污染防治法》、《</w:t>
            </w:r>
            <w:r>
              <w:rPr>
                <w:rFonts w:hint="eastAsia" w:asciiTheme="minorEastAsia" w:hAnsiTheme="minorEastAsia" w:eastAsiaTheme="minorEastAsia" w:cstheme="minorEastAsia"/>
                <w:sz w:val="21"/>
                <w:szCs w:val="21"/>
                <w:lang w:eastAsia="zh-CN"/>
              </w:rPr>
              <w:t>福建省</w:t>
            </w:r>
            <w:r>
              <w:rPr>
                <w:rFonts w:hint="eastAsia" w:asciiTheme="minorEastAsia" w:hAnsiTheme="minorEastAsia" w:eastAsiaTheme="minorEastAsia" w:cstheme="minorEastAsia"/>
                <w:sz w:val="21"/>
                <w:szCs w:val="21"/>
              </w:rPr>
              <w:t>消防条例》、《中华人民共和国安全生产法》、</w:t>
            </w:r>
            <w:r>
              <w:rPr>
                <w:rFonts w:hint="eastAsia" w:asciiTheme="minorEastAsia" w:hAnsiTheme="minorEastAsia" w:eastAsiaTheme="minorEastAsia" w:cstheme="minorEastAsia"/>
                <w:sz w:val="21"/>
                <w:szCs w:val="21"/>
                <w:lang w:eastAsia="zh-CN"/>
              </w:rPr>
              <w:t>《福建省环境保护条例》、</w:t>
            </w:r>
            <w:r>
              <w:rPr>
                <w:rFonts w:hint="eastAsia" w:asciiTheme="minorEastAsia" w:hAnsiTheme="minorEastAsia" w:eastAsiaTheme="minorEastAsia" w:cstheme="minorEastAsia"/>
                <w:sz w:val="21"/>
                <w:szCs w:val="21"/>
              </w:rPr>
              <w:t>《污水排入城镇下水管道水质标准》等。已识别法律法规及其它要求的适用条款，能与环境因素、危险源向对应。</w:t>
            </w:r>
          </w:p>
          <w:p>
            <w:pPr>
              <w:tabs>
                <w:tab w:val="left" w:pos="6597"/>
              </w:tabs>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根据需要随时网上获取、识别更新，并通过培训、宣传、会议等形式传达给员工和相关方，各部门如有需要随时到</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查阅。</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1707"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监视、测量、分析和评价总则</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监视和测量</w:t>
            </w:r>
          </w:p>
        </w:tc>
        <w:tc>
          <w:tcPr>
            <w:tcW w:w="1019"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w:t>
            </w:r>
          </w:p>
          <w:p>
            <w:pPr>
              <w:tabs>
                <w:tab w:val="left" w:pos="6597"/>
              </w:tabs>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 xml:space="preserve">9.1.1 </w:t>
            </w:r>
          </w:p>
        </w:tc>
        <w:tc>
          <w:tcPr>
            <w:tcW w:w="11223" w:type="dxa"/>
            <w:vAlign w:val="center"/>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公司编制《</w:t>
            </w:r>
            <w:r>
              <w:rPr>
                <w:rFonts w:hint="eastAsia"/>
              </w:rPr>
              <w:t>环境职业健康安全监视和测量程序</w:t>
            </w:r>
            <w:r>
              <w:rPr>
                <w:rFonts w:hint="eastAsia" w:asciiTheme="minorEastAsia" w:hAnsiTheme="minorEastAsia" w:eastAsiaTheme="minorEastAsia" w:cstheme="minorEastAsia"/>
                <w:sz w:val="21"/>
                <w:szCs w:val="21"/>
              </w:rPr>
              <w:t>》，部门通过月度巡查考核对各部门进行监控。</w:t>
            </w:r>
          </w:p>
          <w:p>
            <w:pPr>
              <w:widowControl/>
              <w:numPr>
                <w:ilvl w:val="0"/>
                <w:numId w:val="1"/>
              </w:numPr>
              <w:spacing w:line="360" w:lineRule="auto"/>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w:t>
            </w:r>
            <w:r>
              <w:rPr>
                <w:rFonts w:hint="eastAsia" w:asciiTheme="minorEastAsia" w:hAnsiTheme="minorEastAsia" w:eastAsiaTheme="minorEastAsia" w:cstheme="minorEastAsia"/>
                <w:color w:val="auto"/>
                <w:sz w:val="21"/>
                <w:szCs w:val="21"/>
                <w:lang w:val="en-US" w:eastAsia="zh-CN"/>
              </w:rPr>
              <w:t>2020年环境、职业健康安全</w:t>
            </w:r>
            <w:r>
              <w:rPr>
                <w:rFonts w:hint="eastAsia" w:asciiTheme="minorEastAsia" w:hAnsiTheme="minorEastAsia" w:eastAsiaTheme="minorEastAsia" w:cstheme="minorEastAsia"/>
                <w:color w:val="auto"/>
                <w:sz w:val="21"/>
                <w:szCs w:val="21"/>
              </w:rPr>
              <w:t>目标达成统计表》，</w:t>
            </w:r>
            <w:r>
              <w:rPr>
                <w:rFonts w:hint="eastAsia" w:asciiTheme="minorEastAsia" w:hAnsiTheme="minorEastAsia" w:eastAsiaTheme="minorEastAsia" w:cstheme="minorEastAsia"/>
                <w:color w:val="auto"/>
                <w:sz w:val="21"/>
                <w:szCs w:val="21"/>
                <w:lang w:eastAsia="zh-CN"/>
              </w:rPr>
              <w:t>2020</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11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30</w:t>
            </w:r>
            <w:r>
              <w:rPr>
                <w:rFonts w:hint="eastAsia" w:asciiTheme="minorEastAsia" w:hAnsiTheme="minorEastAsia" w:eastAsiaTheme="minorEastAsia" w:cstheme="minorEastAsia"/>
                <w:color w:val="auto"/>
                <w:sz w:val="21"/>
                <w:szCs w:val="21"/>
                <w:lang w:eastAsia="zh-CN"/>
              </w:rPr>
              <w:t>综合部</w:t>
            </w:r>
            <w:r>
              <w:rPr>
                <w:rFonts w:hint="eastAsia" w:asciiTheme="minorEastAsia" w:hAnsiTheme="minorEastAsia" w:eastAsiaTheme="minorEastAsia" w:cstheme="minorEastAsia"/>
                <w:color w:val="auto"/>
                <w:sz w:val="21"/>
                <w:szCs w:val="21"/>
              </w:rPr>
              <w:t>对环境、职业健康安全目标完成情况进行了检测，已</w:t>
            </w:r>
            <w:r>
              <w:rPr>
                <w:rFonts w:hint="eastAsia" w:asciiTheme="minorEastAsia" w:hAnsiTheme="minorEastAsia" w:eastAsiaTheme="minorEastAsia" w:cstheme="minorEastAsia"/>
                <w:color w:val="auto"/>
                <w:sz w:val="21"/>
                <w:szCs w:val="21"/>
                <w:lang w:val="en-US" w:eastAsia="zh-CN"/>
              </w:rPr>
              <w:t>全部</w:t>
            </w:r>
            <w:r>
              <w:rPr>
                <w:rFonts w:hint="eastAsia" w:asciiTheme="minorEastAsia" w:hAnsiTheme="minorEastAsia" w:eastAsiaTheme="minorEastAsia" w:cstheme="minorEastAsia"/>
                <w:color w:val="auto"/>
                <w:sz w:val="21"/>
                <w:szCs w:val="21"/>
              </w:rPr>
              <w:t>完成，检查人：</w:t>
            </w:r>
            <w:r>
              <w:rPr>
                <w:rFonts w:hint="eastAsia" w:asciiTheme="minorEastAsia" w:hAnsiTheme="minorEastAsia" w:eastAsiaTheme="minorEastAsia" w:cstheme="minorEastAsia"/>
                <w:color w:val="auto"/>
                <w:sz w:val="21"/>
                <w:szCs w:val="21"/>
                <w:lang w:eastAsia="zh-CN"/>
              </w:rPr>
              <w:t>林森泉</w:t>
            </w:r>
            <w:r>
              <w:rPr>
                <w:rFonts w:hint="eastAsia" w:asciiTheme="minorEastAsia" w:hAnsiTheme="minorEastAsia" w:eastAsiaTheme="minorEastAsia" w:cstheme="minorEastAsia"/>
                <w:color w:val="auto"/>
                <w:sz w:val="21"/>
                <w:szCs w:val="21"/>
              </w:rPr>
              <w:t>。</w:t>
            </w:r>
          </w:p>
          <w:p>
            <w:pPr>
              <w:widowControl/>
              <w:numPr>
                <w:ilvl w:val="0"/>
                <w:numId w:val="1"/>
              </w:num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查到</w:t>
            </w:r>
            <w:r>
              <w:rPr>
                <w:rFonts w:hint="eastAsia" w:asciiTheme="minorEastAsia" w:hAnsiTheme="minorEastAsia" w:eastAsiaTheme="minorEastAsia" w:cstheme="minorEastAsia"/>
                <w:sz w:val="21"/>
                <w:szCs w:val="21"/>
                <w:lang w:eastAsia="zh-CN"/>
              </w:rPr>
              <w:t>2020</w:t>
            </w:r>
            <w:r>
              <w:rPr>
                <w:rFonts w:hint="eastAsia" w:asciiTheme="minorEastAsia" w:hAnsiTheme="minorEastAsia" w:eastAsiaTheme="minorEastAsia" w:cstheme="minorEastAsia"/>
                <w:sz w:val="21"/>
                <w:szCs w:val="21"/>
              </w:rPr>
              <w:t>.12.3《管理方案</w:t>
            </w:r>
            <w:r>
              <w:rPr>
                <w:rFonts w:hint="eastAsia" w:asciiTheme="minorEastAsia" w:hAnsiTheme="minorEastAsia" w:eastAsiaTheme="minorEastAsia" w:cstheme="minorEastAsia"/>
                <w:sz w:val="21"/>
                <w:szCs w:val="21"/>
                <w:lang w:val="en-US" w:eastAsia="zh-CN"/>
              </w:rPr>
              <w:t>检查</w:t>
            </w:r>
            <w:r>
              <w:rPr>
                <w:rFonts w:hint="eastAsia" w:asciiTheme="minorEastAsia" w:hAnsiTheme="minorEastAsia" w:eastAsiaTheme="minorEastAsia" w:cstheme="minorEastAsia"/>
                <w:sz w:val="21"/>
                <w:szCs w:val="21"/>
              </w:rPr>
              <w:t>表》，公司制定的管理方案措施已完成，检查人：</w:t>
            </w:r>
            <w:r>
              <w:rPr>
                <w:rFonts w:hint="eastAsia" w:asciiTheme="minorEastAsia" w:hAnsiTheme="minorEastAsia" w:eastAsiaTheme="minorEastAsia" w:cstheme="minorEastAsia"/>
                <w:sz w:val="21"/>
                <w:szCs w:val="21"/>
                <w:lang w:eastAsia="zh-CN"/>
              </w:rPr>
              <w:t>林森泉</w:t>
            </w:r>
            <w:r>
              <w:rPr>
                <w:rFonts w:hint="eastAsia" w:asciiTheme="minorEastAsia" w:hAnsiTheme="minorEastAsia" w:eastAsiaTheme="minorEastAsia" w:cstheme="minorEastAsia"/>
                <w:sz w:val="21"/>
                <w:szCs w:val="21"/>
              </w:rPr>
              <w:t>。</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提供《环境和安全运行检查记录表》，每月对各部门进行环境安全事项的例行检查，检查项目包括资源能源使用、固体废弃物管理、消防设施管理、管理方案控制</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线路</w:t>
            </w:r>
            <w:r>
              <w:rPr>
                <w:rFonts w:hint="eastAsia" w:asciiTheme="minorEastAsia" w:hAnsiTheme="minorEastAsia" w:eastAsiaTheme="minorEastAsia" w:cstheme="minorEastAsia"/>
                <w:sz w:val="21"/>
                <w:szCs w:val="21"/>
                <w:lang w:val="en-US" w:eastAsia="zh-CN"/>
              </w:rPr>
              <w:t>安全</w:t>
            </w:r>
            <w:r>
              <w:rPr>
                <w:rFonts w:hint="eastAsia" w:asciiTheme="minorEastAsia" w:hAnsiTheme="minorEastAsia" w:eastAsiaTheme="minorEastAsia" w:cstheme="minorEastAsia"/>
                <w:sz w:val="21"/>
                <w:szCs w:val="21"/>
              </w:rPr>
              <w:t>等。</w:t>
            </w:r>
            <w:r>
              <w:rPr>
                <w:rFonts w:hint="eastAsia" w:asciiTheme="minorEastAsia" w:hAnsiTheme="minorEastAsia" w:eastAsiaTheme="minorEastAsia" w:cstheme="minorEastAsia"/>
                <w:sz w:val="21"/>
                <w:szCs w:val="21"/>
                <w:lang w:val="en-US" w:eastAsia="zh-CN"/>
              </w:rPr>
              <w:t>检查</w:t>
            </w:r>
            <w:r>
              <w:rPr>
                <w:rFonts w:hint="eastAsia" w:asciiTheme="minorEastAsia" w:hAnsiTheme="minorEastAsia" w:eastAsiaTheme="minorEastAsia" w:cstheme="minorEastAsia"/>
                <w:sz w:val="21"/>
                <w:szCs w:val="21"/>
              </w:rPr>
              <w:t>结果：</w:t>
            </w:r>
            <w:r>
              <w:rPr>
                <w:rFonts w:hint="eastAsia" w:asciiTheme="minorEastAsia" w:hAnsiTheme="minorEastAsia" w:eastAsiaTheme="minorEastAsia" w:cstheme="minorEastAsia"/>
                <w:sz w:val="21"/>
                <w:szCs w:val="21"/>
                <w:lang w:val="en-US" w:eastAsia="zh-CN"/>
              </w:rPr>
              <w:t>无能源浪费、线路</w:t>
            </w:r>
            <w:r>
              <w:rPr>
                <w:rFonts w:hint="eastAsia" w:asciiTheme="minorEastAsia" w:hAnsiTheme="minorEastAsia" w:eastAsiaTheme="minorEastAsia" w:cstheme="minorEastAsia"/>
                <w:sz w:val="21"/>
                <w:szCs w:val="21"/>
              </w:rPr>
              <w:t>无老化，无私接电源现象，灭火器有效</w:t>
            </w:r>
            <w:r>
              <w:rPr>
                <w:rFonts w:hint="eastAsia" w:asciiTheme="minorEastAsia" w:hAnsiTheme="minorEastAsia" w:eastAsiaTheme="minorEastAsia" w:cstheme="minorEastAsia"/>
                <w:sz w:val="21"/>
                <w:szCs w:val="21"/>
                <w:lang w:val="en-US" w:eastAsia="zh-CN"/>
              </w:rPr>
              <w:t>等</w:t>
            </w:r>
            <w:r>
              <w:rPr>
                <w:rFonts w:hint="eastAsia" w:asciiTheme="minorEastAsia" w:hAnsiTheme="minorEastAsia" w:eastAsiaTheme="minorEastAsia" w:cstheme="minorEastAsia"/>
                <w:sz w:val="21"/>
                <w:szCs w:val="21"/>
              </w:rPr>
              <w:t>；结果：合格；检测人：</w:t>
            </w:r>
            <w:r>
              <w:rPr>
                <w:rFonts w:hint="eastAsia" w:asciiTheme="minorEastAsia" w:hAnsiTheme="minorEastAsia" w:eastAsiaTheme="minorEastAsia" w:cstheme="minorEastAsia"/>
                <w:sz w:val="21"/>
                <w:szCs w:val="21"/>
                <w:lang w:eastAsia="zh-CN"/>
              </w:rPr>
              <w:t>林森泉</w:t>
            </w:r>
            <w:r>
              <w:rPr>
                <w:rFonts w:hint="eastAsia" w:asciiTheme="minorEastAsia" w:hAnsiTheme="minorEastAsia" w:eastAsiaTheme="minorEastAsia" w:cstheme="minorEastAsia"/>
                <w:sz w:val="21"/>
                <w:szCs w:val="21"/>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、经交流确认，公司无安全、环境检测设备。</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、经交流确认，公司员工不涉及职业病。</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主任负责员工健康的监视，员工每天进行考勤，上班开始后</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主任会巡视有无员工缺席，如有生病需要请假，在考勤记录中予以登记，回来后销假登记。</w:t>
            </w:r>
          </w:p>
          <w:p>
            <w:pPr>
              <w:spacing w:line="360" w:lineRule="auto"/>
              <w:ind w:firstLine="42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6、查看《环境卫生管理检查表》针对办公室和周边环境进行点检，符合要求</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0" w:hRule="atLeast"/>
        </w:trPr>
        <w:tc>
          <w:tcPr>
            <w:tcW w:w="1707" w:type="dxa"/>
            <w:vAlign w:val="center"/>
          </w:tcPr>
          <w:p>
            <w:pPr>
              <w:spacing w:line="360" w:lineRule="auto"/>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sz w:val="21"/>
                <w:szCs w:val="21"/>
              </w:rPr>
              <w:t>合规性评价</w:t>
            </w:r>
          </w:p>
        </w:tc>
        <w:tc>
          <w:tcPr>
            <w:tcW w:w="1019"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9.1.2</w:t>
            </w:r>
          </w:p>
        </w:tc>
        <w:tc>
          <w:tcPr>
            <w:tcW w:w="11223" w:type="dxa"/>
            <w:vAlign w:val="center"/>
          </w:tcPr>
          <w:p>
            <w:pPr>
              <w:spacing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公司制定了：《</w:t>
            </w:r>
            <w:r>
              <w:rPr>
                <w:rFonts w:hint="eastAsia"/>
              </w:rPr>
              <w:t>合规性评价控制程序</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提供《合规性评价报告》，经对公司适用的法律法规和其他要求进行评价，全部符合要求。评价结果表明，</w:t>
            </w:r>
            <w:r>
              <w:rPr>
                <w:rFonts w:hint="eastAsia" w:ascii="宋体" w:hAnsi="宋体"/>
                <w:sz w:val="21"/>
                <w:szCs w:val="21"/>
              </w:rPr>
              <w:t>公司对环境因素和危险源的控制活动能够遵循相关法律法规要求，无违反法律法规现象的发生</w:t>
            </w:r>
            <w:r>
              <w:rPr>
                <w:rFonts w:hint="eastAsia" w:asciiTheme="minorEastAsia" w:hAnsiTheme="minorEastAsia" w:eastAsiaTheme="minorEastAsia" w:cstheme="minorEastAsia"/>
                <w:sz w:val="21"/>
                <w:szCs w:val="21"/>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以上评价人：</w:t>
            </w:r>
            <w:r>
              <w:rPr>
                <w:rFonts w:hint="eastAsia" w:ascii="宋体" w:hAnsi="宋体"/>
                <w:sz w:val="21"/>
                <w:szCs w:val="21"/>
              </w:rPr>
              <w:t>林森泉、周雪平、陈建辉</w:t>
            </w:r>
          </w:p>
          <w:p>
            <w:pPr>
              <w:spacing w:line="360" w:lineRule="auto"/>
              <w:ind w:firstLine="420" w:firstLineChars="2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sz w:val="21"/>
                <w:szCs w:val="21"/>
              </w:rPr>
              <w:t>评价日期：</w:t>
            </w:r>
            <w:r>
              <w:rPr>
                <w:rFonts w:hint="eastAsia" w:ascii="宋体" w:hAnsi="宋体"/>
                <w:sz w:val="21"/>
                <w:szCs w:val="21"/>
              </w:rPr>
              <w:t>2020.</w:t>
            </w:r>
            <w:r>
              <w:rPr>
                <w:rFonts w:hint="eastAsia" w:ascii="宋体" w:hAnsi="宋体"/>
                <w:sz w:val="21"/>
                <w:szCs w:val="21"/>
                <w:lang w:val="en-US" w:eastAsia="zh-CN"/>
              </w:rPr>
              <w:t>9</w:t>
            </w:r>
            <w:r>
              <w:rPr>
                <w:rFonts w:hint="eastAsia" w:ascii="宋体" w:hAnsi="宋体"/>
                <w:sz w:val="21"/>
                <w:szCs w:val="21"/>
              </w:rPr>
              <w:t>.2</w:t>
            </w:r>
            <w:r>
              <w:rPr>
                <w:rFonts w:hint="eastAsia" w:ascii="宋体" w:hAnsi="宋体"/>
                <w:sz w:val="21"/>
                <w:szCs w:val="21"/>
                <w:lang w:val="en-US" w:eastAsia="zh-CN"/>
              </w:rPr>
              <w:t>5</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trPr>
        <w:tc>
          <w:tcPr>
            <w:tcW w:w="1707"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不合格和纠正措施</w:t>
            </w:r>
          </w:p>
        </w:tc>
        <w:tc>
          <w:tcPr>
            <w:tcW w:w="1019" w:type="dxa"/>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Q/E/</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 xml:space="preserve">：10.2  </w:t>
            </w:r>
          </w:p>
        </w:tc>
        <w:tc>
          <w:tcPr>
            <w:tcW w:w="11223" w:type="dxa"/>
            <w:vAlign w:val="center"/>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组织编制了《</w:t>
            </w:r>
            <w:r>
              <w:rPr>
                <w:rFonts w:hint="eastAsia"/>
              </w:rPr>
              <w:t>不符合、纠正和预防措施管理程序</w:t>
            </w:r>
            <w:r>
              <w:rPr>
                <w:rFonts w:hint="eastAsia" w:asciiTheme="minorEastAsia" w:hAnsiTheme="minorEastAsia" w:eastAsiaTheme="minorEastAsia" w:cstheme="minorEastAsia"/>
                <w:sz w:val="21"/>
                <w:szCs w:val="21"/>
              </w:rPr>
              <w:t>》、《</w:t>
            </w:r>
            <w:r>
              <w:rPr>
                <w:rFonts w:hint="eastAsia"/>
              </w:rPr>
              <w:t>事件调查、报告与处理程序</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w:t>
            </w:r>
            <w:r>
              <w:rPr>
                <w:rFonts w:hint="eastAsia"/>
              </w:rPr>
              <w:t>不合格品管理程序</w:t>
            </w:r>
            <w:r>
              <w:rPr>
                <w:rFonts w:hint="eastAsia"/>
                <w:lang w:eastAsia="zh-CN"/>
              </w:rPr>
              <w:t>》</w:t>
            </w:r>
            <w:r>
              <w:rPr>
                <w:rFonts w:hint="eastAsia" w:asciiTheme="minorEastAsia" w:hAnsiTheme="minorEastAsia" w:eastAsiaTheme="minorEastAsia" w:cstheme="minorEastAsia"/>
                <w:sz w:val="21"/>
                <w:szCs w:val="21"/>
              </w:rPr>
              <w:t xml:space="preserve">，对纠正预防措施识别、评审、验证，事故事件报告、调查、处理等作了规定，其内容符合组织实际及标准要求。 </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查纠正措施实施情况：</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对体系运行过程中产生不合格的产生，公司提供纠正措施实施报告。</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查到：对内审中提出不合格项进行了原因分析,并制定、实施了纠正措施，并由内审员对所采取的纠正措施进行了验证，纠正措施有效（参见内审工作单），管理评审中发现的薄弱环节，分析了原因，采取了纠正措施（参见管理评审工作单）。</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体系运行以来公司按照体系的要求，通过制定运行控制程序、作业指导书、加强培训，以及开展管理评审活动等方式采取预防措施，防止不符合/不合格的发生，不符合得到了有效控制，人员</w:t>
            </w:r>
            <w:r>
              <w:rPr>
                <w:rFonts w:hint="eastAsia" w:asciiTheme="minorEastAsia" w:hAnsiTheme="minorEastAsia" w:eastAsiaTheme="minorEastAsia" w:cstheme="minorEastAsia"/>
                <w:sz w:val="21"/>
                <w:szCs w:val="21"/>
                <w:lang w:eastAsia="zh-CN"/>
              </w:rPr>
              <w:t>质量、环境、职业健康安全</w:t>
            </w:r>
            <w:r>
              <w:rPr>
                <w:rFonts w:hint="eastAsia" w:asciiTheme="minorEastAsia" w:hAnsiTheme="minorEastAsia" w:eastAsiaTheme="minorEastAsia" w:cstheme="minorEastAsia"/>
                <w:sz w:val="21"/>
                <w:szCs w:val="21"/>
              </w:rPr>
              <w:t>意识有了明显提高，自体系运行以来，体系运行没有发现潜在的不符合，没有发生重大质量事故和投诉处罚，没有发生环境、职业健康安全事件和投诉处罚。</w:t>
            </w:r>
          </w:p>
          <w:p>
            <w:pPr>
              <w:spacing w:line="360" w:lineRule="auto"/>
              <w:ind w:firstLine="420" w:firstLineChars="2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sz w:val="21"/>
                <w:szCs w:val="21"/>
              </w:rPr>
              <w:t>组织纠正和预防措施的管理符合标准规定要求。</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bl>
    <w:p>
      <w:pPr>
        <w:pStyle w:val="5"/>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both"/>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019"/>
        <w:gridCol w:w="11223"/>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过程与活动、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抽样计划</w:t>
            </w:r>
          </w:p>
        </w:tc>
        <w:tc>
          <w:tcPr>
            <w:tcW w:w="101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涉及</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条款</w:t>
            </w:r>
          </w:p>
        </w:tc>
        <w:tc>
          <w:tcPr>
            <w:tcW w:w="1122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lang w:val="en-US"/>
              </w:rPr>
            </w:pPr>
            <w:r>
              <w:rPr>
                <w:rFonts w:hint="eastAsia" w:ascii="宋体" w:hAnsi="宋体" w:eastAsia="宋体" w:cs="宋体"/>
                <w:sz w:val="24"/>
                <w:szCs w:val="24"/>
              </w:rPr>
              <w:t>受审核部门：</w:t>
            </w:r>
            <w:r>
              <w:rPr>
                <w:rFonts w:hint="eastAsia" w:ascii="宋体" w:hAnsi="宋体" w:cs="宋体"/>
                <w:sz w:val="24"/>
                <w:szCs w:val="24"/>
                <w:lang w:val="en-US" w:eastAsia="zh-CN"/>
              </w:rPr>
              <w:t>业务部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主管领导/陪同人员</w:t>
            </w:r>
            <w:r>
              <w:rPr>
                <w:rFonts w:hint="eastAsia" w:ascii="宋体" w:hAnsi="宋体" w:eastAsia="宋体" w:cs="宋体"/>
                <w:sz w:val="24"/>
                <w:szCs w:val="24"/>
                <w:lang w:eastAsia="zh-CN"/>
              </w:rPr>
              <w:t>：</w:t>
            </w:r>
            <w:r>
              <w:rPr>
                <w:rFonts w:hint="eastAsia" w:ascii="宋体" w:hAnsi="宋体" w:cs="宋体"/>
                <w:sz w:val="24"/>
                <w:szCs w:val="24"/>
                <w:lang w:val="en-US" w:eastAsia="zh-CN"/>
              </w:rPr>
              <w:t>黄惠泉</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周二红</w:t>
            </w:r>
          </w:p>
        </w:tc>
        <w:tc>
          <w:tcPr>
            <w:tcW w:w="76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01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122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default" w:ascii="宋体" w:hAnsi="宋体" w:eastAsia="宋体" w:cs="宋体"/>
                <w:sz w:val="24"/>
                <w:szCs w:val="24"/>
                <w:lang w:val="en-US"/>
              </w:rPr>
            </w:pPr>
            <w:r>
              <w:rPr>
                <w:rFonts w:hint="eastAsia" w:ascii="宋体" w:hAnsi="宋体" w:eastAsia="宋体" w:cs="宋体"/>
                <w:sz w:val="24"/>
                <w:szCs w:val="24"/>
              </w:rPr>
              <w:t>审核员：</w:t>
            </w:r>
            <w:r>
              <w:rPr>
                <w:rFonts w:hint="eastAsia" w:ascii="宋体" w:hAnsi="宋体" w:cs="宋体"/>
                <w:sz w:val="24"/>
                <w:szCs w:val="24"/>
                <w:lang w:val="en-US" w:eastAsia="zh-CN"/>
              </w:rPr>
              <w:t>张磊</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审核时间：</w:t>
            </w:r>
            <w:r>
              <w:rPr>
                <w:rFonts w:hint="eastAsia" w:ascii="宋体" w:hAnsi="宋体" w:cs="宋体"/>
                <w:sz w:val="24"/>
                <w:szCs w:val="24"/>
                <w:lang w:val="en-US" w:eastAsia="zh-CN"/>
              </w:rPr>
              <w:t>2020</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12</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15-16</w:t>
            </w:r>
          </w:p>
        </w:tc>
        <w:tc>
          <w:tcPr>
            <w:tcW w:w="760"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0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01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1223" w:type="dxa"/>
            <w:vAlign w:val="center"/>
          </w:tcPr>
          <w:p>
            <w:pPr>
              <w:snapToGrid w:val="0"/>
              <w:spacing w:line="260" w:lineRule="exact"/>
              <w:rPr>
                <w:rFonts w:hint="eastAsia" w:ascii="宋体" w:hAnsi="宋体" w:eastAsia="宋体" w:cs="宋体"/>
                <w:sz w:val="21"/>
                <w:szCs w:val="21"/>
                <w:lang w:val="en-US" w:eastAsia="zh-CN"/>
              </w:rPr>
            </w:pPr>
            <w:r>
              <w:rPr>
                <w:rFonts w:hint="eastAsia" w:ascii="宋体" w:hAnsi="宋体" w:cs="宋体"/>
                <w:sz w:val="21"/>
                <w:szCs w:val="21"/>
              </w:rPr>
              <w:t>涉及标准条款：Q:5.3/6.2/7.1.3/7.1.4/8.1/</w:t>
            </w:r>
            <w:r>
              <w:rPr>
                <w:rFonts w:hint="eastAsia" w:ascii="宋体" w:hAnsi="宋体" w:cs="宋体"/>
                <w:sz w:val="21"/>
                <w:szCs w:val="21"/>
                <w:lang w:val="en-US" w:eastAsia="zh-CN"/>
              </w:rPr>
              <w:t>8.2</w:t>
            </w:r>
            <w:r>
              <w:rPr>
                <w:rFonts w:hint="eastAsia" w:ascii="宋体" w:hAnsi="宋体" w:cs="宋体"/>
                <w:sz w:val="21"/>
                <w:szCs w:val="21"/>
              </w:rPr>
              <w:t>/8.3</w:t>
            </w:r>
            <w:r>
              <w:rPr>
                <w:rFonts w:hint="eastAsia" w:ascii="宋体" w:hAnsi="宋体" w:cs="宋体"/>
                <w:sz w:val="21"/>
                <w:szCs w:val="21"/>
                <w:lang w:eastAsia="zh-CN"/>
              </w:rPr>
              <w:t>（确认）</w:t>
            </w:r>
            <w:r>
              <w:rPr>
                <w:rFonts w:hint="eastAsia" w:ascii="宋体" w:hAnsi="宋体" w:cs="宋体"/>
                <w:sz w:val="21"/>
                <w:szCs w:val="21"/>
                <w:lang w:val="en-US" w:eastAsia="zh-CN"/>
              </w:rPr>
              <w:t>/</w:t>
            </w:r>
            <w:r>
              <w:rPr>
                <w:rFonts w:hint="eastAsia" w:ascii="宋体" w:hAnsi="宋体" w:cs="宋体"/>
                <w:sz w:val="21"/>
                <w:szCs w:val="21"/>
              </w:rPr>
              <w:t>8.5</w:t>
            </w:r>
            <w:r>
              <w:rPr>
                <w:rFonts w:hint="eastAsia" w:ascii="宋体" w:hAnsi="宋体" w:cs="宋体"/>
                <w:sz w:val="21"/>
                <w:szCs w:val="21"/>
                <w:lang w:val="en-US" w:eastAsia="zh-CN"/>
              </w:rPr>
              <w:t>/9.1.2</w:t>
            </w:r>
            <w:r>
              <w:rPr>
                <w:rFonts w:hint="eastAsia" w:ascii="宋体" w:hAnsi="宋体" w:cs="宋体"/>
                <w:sz w:val="21"/>
                <w:szCs w:val="21"/>
              </w:rPr>
              <w:t>/7.1.5/8.6/8.7</w:t>
            </w:r>
          </w:p>
          <w:p>
            <w:pPr>
              <w:snapToGrid w:val="0"/>
              <w:spacing w:line="260" w:lineRule="exact"/>
              <w:rPr>
                <w:rFonts w:hint="eastAsia" w:ascii="宋体" w:hAnsi="宋体" w:eastAsia="宋体" w:cs="宋体"/>
                <w:sz w:val="24"/>
                <w:szCs w:val="24"/>
              </w:rPr>
            </w:pPr>
            <w:r>
              <w:rPr>
                <w:rFonts w:hint="eastAsia" w:ascii="宋体" w:hAnsi="宋体" w:cs="宋体"/>
                <w:sz w:val="21"/>
                <w:szCs w:val="21"/>
              </w:rPr>
              <w:t>E</w:t>
            </w:r>
            <w:r>
              <w:rPr>
                <w:rFonts w:hint="eastAsia" w:ascii="宋体" w:hAnsi="宋体" w:cs="宋体"/>
                <w:sz w:val="21"/>
                <w:szCs w:val="21"/>
                <w:lang w:val="en-US" w:eastAsia="zh-CN"/>
              </w:rPr>
              <w:t>O</w:t>
            </w:r>
            <w:r>
              <w:rPr>
                <w:rFonts w:hint="eastAsia" w:ascii="宋体" w:hAnsi="宋体" w:cs="宋体"/>
                <w:sz w:val="21"/>
                <w:szCs w:val="21"/>
              </w:rPr>
              <w:t>:5.3/6.2/6.1.2/8.1/8.2</w:t>
            </w:r>
          </w:p>
        </w:tc>
        <w:tc>
          <w:tcPr>
            <w:tcW w:w="760"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707" w:type="dxa"/>
            <w:vAlign w:val="top"/>
          </w:tcPr>
          <w:p>
            <w:pPr>
              <w:spacing w:line="280" w:lineRule="exact"/>
              <w:rPr>
                <w:rFonts w:hint="eastAsia" w:ascii="宋体" w:hAnsi="宋体" w:cs="宋体"/>
                <w:color w:val="000000"/>
                <w:kern w:val="0"/>
                <w:sz w:val="21"/>
                <w:szCs w:val="21"/>
              </w:rPr>
            </w:pPr>
            <w:r>
              <w:rPr>
                <w:rFonts w:hint="eastAsia" w:ascii="宋体" w:hAnsi="宋体" w:cs="宋体"/>
                <w:color w:val="000000"/>
                <w:kern w:val="0"/>
                <w:sz w:val="21"/>
                <w:szCs w:val="21"/>
              </w:rPr>
              <w:t>组织的岗位职责和权限</w:t>
            </w:r>
          </w:p>
          <w:p>
            <w:pPr>
              <w:spacing w:line="280" w:lineRule="exact"/>
              <w:rPr>
                <w:rFonts w:hint="eastAsia" w:ascii="宋体" w:hAnsi="宋体" w:eastAsia="宋体" w:cs="宋体"/>
                <w:sz w:val="24"/>
                <w:szCs w:val="24"/>
              </w:rPr>
            </w:pPr>
          </w:p>
        </w:tc>
        <w:tc>
          <w:tcPr>
            <w:tcW w:w="1019" w:type="dxa"/>
            <w:vAlign w:val="top"/>
          </w:tcPr>
          <w:p>
            <w:pPr>
              <w:spacing w:line="280" w:lineRule="exact"/>
              <w:rPr>
                <w:rFonts w:hint="eastAsia" w:ascii="宋体" w:hAnsi="宋体" w:cs="宋体"/>
                <w:color w:val="000000"/>
                <w:kern w:val="0"/>
                <w:sz w:val="21"/>
                <w:szCs w:val="21"/>
              </w:rPr>
            </w:pPr>
            <w:r>
              <w:rPr>
                <w:rFonts w:hint="eastAsia" w:ascii="宋体" w:hAnsi="宋体" w:cs="宋体"/>
                <w:color w:val="000000"/>
                <w:kern w:val="0"/>
                <w:sz w:val="21"/>
                <w:szCs w:val="21"/>
              </w:rPr>
              <w:t>QE</w:t>
            </w:r>
            <w:r>
              <w:rPr>
                <w:rFonts w:hint="eastAsia" w:ascii="宋体" w:hAnsi="宋体" w:cs="宋体"/>
                <w:color w:val="000000"/>
                <w:kern w:val="0"/>
                <w:sz w:val="21"/>
                <w:szCs w:val="21"/>
                <w:lang w:eastAsia="zh-CN"/>
              </w:rPr>
              <w:t>O：</w:t>
            </w:r>
            <w:r>
              <w:rPr>
                <w:rFonts w:hint="eastAsia" w:ascii="宋体" w:hAnsi="宋体" w:cs="宋体"/>
                <w:color w:val="000000"/>
                <w:kern w:val="0"/>
                <w:sz w:val="21"/>
                <w:szCs w:val="21"/>
              </w:rPr>
              <w:t>5.3</w:t>
            </w:r>
          </w:p>
          <w:p>
            <w:pPr>
              <w:spacing w:line="280" w:lineRule="exact"/>
              <w:rPr>
                <w:rFonts w:hint="eastAsia" w:ascii="宋体" w:hAnsi="宋体" w:eastAsia="宋体" w:cs="宋体"/>
                <w:sz w:val="24"/>
                <w:szCs w:val="24"/>
              </w:rPr>
            </w:pPr>
          </w:p>
        </w:tc>
        <w:tc>
          <w:tcPr>
            <w:tcW w:w="11223" w:type="dxa"/>
            <w:vAlign w:val="top"/>
          </w:tcPr>
          <w:p>
            <w:pPr>
              <w:spacing w:line="280" w:lineRule="exact"/>
              <w:ind w:firstLine="420"/>
              <w:rPr>
                <w:rFonts w:hint="eastAsia"/>
                <w:color w:val="000000"/>
                <w:sz w:val="21"/>
                <w:szCs w:val="21"/>
              </w:rPr>
            </w:pPr>
            <w:r>
              <w:rPr>
                <w:rFonts w:hint="eastAsia"/>
                <w:color w:val="000000"/>
                <w:sz w:val="21"/>
                <w:szCs w:val="21"/>
              </w:rPr>
              <w:t>本部门主要负责</w:t>
            </w:r>
            <w:r>
              <w:rPr>
                <w:rFonts w:hint="eastAsia"/>
                <w:color w:val="000000"/>
                <w:sz w:val="21"/>
                <w:szCs w:val="21"/>
                <w:lang w:val="en-US" w:eastAsia="zh-CN"/>
              </w:rPr>
              <w:t>采购、销售</w:t>
            </w:r>
            <w:r>
              <w:rPr>
                <w:rFonts w:hint="eastAsia"/>
                <w:color w:val="000000"/>
                <w:sz w:val="21"/>
                <w:szCs w:val="21"/>
              </w:rPr>
              <w:t>和顾客满意度的</w:t>
            </w:r>
            <w:r>
              <w:rPr>
                <w:rFonts w:hint="eastAsia"/>
                <w:color w:val="000000"/>
                <w:sz w:val="21"/>
                <w:szCs w:val="21"/>
                <w:lang w:val="en-US" w:eastAsia="zh-CN"/>
              </w:rPr>
              <w:t>控制</w:t>
            </w:r>
            <w:r>
              <w:rPr>
                <w:rFonts w:hint="eastAsia"/>
                <w:color w:val="000000"/>
                <w:sz w:val="21"/>
                <w:szCs w:val="21"/>
              </w:rPr>
              <w:t>及相关环境、职业健康安全管理活动的实施与执行</w:t>
            </w:r>
          </w:p>
          <w:p>
            <w:pPr>
              <w:spacing w:line="280" w:lineRule="exact"/>
              <w:ind w:firstLine="420"/>
              <w:rPr>
                <w:rFonts w:hint="eastAsia"/>
                <w:color w:val="000000"/>
                <w:sz w:val="21"/>
                <w:szCs w:val="21"/>
              </w:rPr>
            </w:pPr>
            <w:r>
              <w:rPr>
                <w:rFonts w:hint="eastAsia"/>
                <w:color w:val="000000"/>
                <w:sz w:val="21"/>
                <w:szCs w:val="21"/>
              </w:rPr>
              <w:t>与</w:t>
            </w:r>
            <w:r>
              <w:rPr>
                <w:rFonts w:hint="eastAsia"/>
                <w:color w:val="000000"/>
                <w:sz w:val="21"/>
                <w:szCs w:val="21"/>
                <w:lang w:eastAsia="zh-CN"/>
              </w:rPr>
              <w:t>业务部</w:t>
            </w:r>
            <w:r>
              <w:rPr>
                <w:rFonts w:hint="eastAsia"/>
                <w:color w:val="000000"/>
                <w:sz w:val="21"/>
                <w:szCs w:val="21"/>
              </w:rPr>
              <w:t>负责人沟通，描述的职责和权限与一体化管理体系的职能分配表基本一致。</w:t>
            </w:r>
          </w:p>
          <w:p>
            <w:pPr>
              <w:spacing w:line="280" w:lineRule="exact"/>
              <w:ind w:firstLine="420" w:firstLineChars="0"/>
              <w:rPr>
                <w:rFonts w:hint="eastAsia" w:ascii="宋体" w:hAnsi="宋体" w:eastAsia="宋体" w:cs="宋体"/>
                <w:sz w:val="24"/>
                <w:szCs w:val="24"/>
                <w:lang w:eastAsia="zh-CN"/>
              </w:rPr>
            </w:pPr>
            <w:r>
              <w:rPr>
                <w:rFonts w:hint="eastAsia"/>
                <w:color w:val="000000"/>
                <w:sz w:val="21"/>
                <w:szCs w:val="21"/>
              </w:rPr>
              <w:t>有办公桌、电脑、空调等能满足部门体系运行需求。</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707" w:type="dxa"/>
            <w:vAlign w:val="top"/>
          </w:tcPr>
          <w:p>
            <w:pPr>
              <w:spacing w:line="280" w:lineRule="exact"/>
              <w:rPr>
                <w:rFonts w:hint="eastAsia" w:ascii="宋体" w:hAnsi="宋体" w:eastAsia="宋体" w:cs="宋体"/>
                <w:sz w:val="24"/>
                <w:szCs w:val="24"/>
              </w:rPr>
            </w:pPr>
            <w:r>
              <w:rPr>
                <w:rFonts w:hint="eastAsia" w:ascii="宋体" w:hAnsi="宋体" w:cs="宋体"/>
                <w:color w:val="000000"/>
                <w:kern w:val="0"/>
                <w:sz w:val="21"/>
                <w:szCs w:val="21"/>
              </w:rPr>
              <w:t>目标及其实现的策划总要求</w:t>
            </w:r>
          </w:p>
        </w:tc>
        <w:tc>
          <w:tcPr>
            <w:tcW w:w="1019" w:type="dxa"/>
            <w:vAlign w:val="top"/>
          </w:tcPr>
          <w:p>
            <w:pPr>
              <w:spacing w:line="280" w:lineRule="exact"/>
              <w:rPr>
                <w:rFonts w:hint="eastAsia" w:ascii="宋体" w:hAnsi="宋体" w:cs="宋体"/>
                <w:color w:val="000000"/>
                <w:kern w:val="0"/>
                <w:sz w:val="21"/>
                <w:szCs w:val="21"/>
              </w:rPr>
            </w:pPr>
            <w:r>
              <w:rPr>
                <w:rFonts w:hint="eastAsia" w:ascii="宋体" w:hAnsi="宋体" w:cs="宋体"/>
                <w:color w:val="000000"/>
                <w:kern w:val="0"/>
                <w:sz w:val="21"/>
                <w:szCs w:val="21"/>
              </w:rPr>
              <w:t>QE</w:t>
            </w:r>
            <w:r>
              <w:rPr>
                <w:rFonts w:hint="eastAsia" w:ascii="宋体" w:hAnsi="宋体" w:cs="宋体"/>
                <w:color w:val="000000"/>
                <w:kern w:val="0"/>
                <w:sz w:val="21"/>
                <w:szCs w:val="21"/>
                <w:lang w:eastAsia="zh-CN"/>
              </w:rPr>
              <w:t>O：</w:t>
            </w:r>
            <w:r>
              <w:rPr>
                <w:rFonts w:hint="eastAsia" w:ascii="宋体" w:hAnsi="宋体" w:cs="宋体"/>
                <w:color w:val="000000"/>
                <w:kern w:val="0"/>
                <w:sz w:val="21"/>
                <w:szCs w:val="21"/>
              </w:rPr>
              <w:t>6.2</w:t>
            </w:r>
          </w:p>
          <w:p>
            <w:pPr>
              <w:spacing w:line="280" w:lineRule="exact"/>
              <w:rPr>
                <w:rFonts w:hint="eastAsia" w:ascii="宋体" w:hAnsi="宋体" w:cs="宋体"/>
                <w:color w:val="000000"/>
                <w:kern w:val="0"/>
                <w:sz w:val="21"/>
                <w:szCs w:val="21"/>
              </w:rPr>
            </w:pPr>
          </w:p>
          <w:p>
            <w:pPr>
              <w:spacing w:line="280" w:lineRule="exact"/>
              <w:rPr>
                <w:rFonts w:hint="eastAsia" w:ascii="宋体" w:hAnsi="宋体" w:eastAsia="宋体" w:cs="宋体"/>
                <w:sz w:val="24"/>
                <w:szCs w:val="24"/>
              </w:rPr>
            </w:pPr>
          </w:p>
        </w:tc>
        <w:tc>
          <w:tcPr>
            <w:tcW w:w="11223" w:type="dxa"/>
            <w:vAlign w:val="top"/>
          </w:tcPr>
          <w:p>
            <w:pPr>
              <w:spacing w:line="280" w:lineRule="exact"/>
              <w:ind w:firstLine="420" w:firstLineChars="200"/>
              <w:rPr>
                <w:rFonts w:hint="eastAsia"/>
                <w:color w:val="000000"/>
                <w:sz w:val="21"/>
                <w:szCs w:val="21"/>
              </w:rPr>
            </w:pPr>
            <w:r>
              <w:rPr>
                <w:rFonts w:hint="eastAsia"/>
                <w:color w:val="000000"/>
                <w:sz w:val="21"/>
                <w:szCs w:val="21"/>
              </w:rPr>
              <w:t xml:space="preserve">管理目标有：                       </w:t>
            </w:r>
          </w:p>
          <w:p>
            <w:pPr>
              <w:pStyle w:val="2"/>
              <w:ind w:firstLine="420" w:firstLineChars="200"/>
              <w:rPr>
                <w:rFonts w:hint="eastAsia"/>
                <w:spacing w:val="0"/>
                <w:kern w:val="2"/>
                <w:sz w:val="21"/>
                <w:szCs w:val="21"/>
                <w:lang w:val="en-US" w:eastAsia="zh-CN" w:bidi="ar-SA"/>
              </w:rPr>
            </w:pPr>
            <w:r>
              <w:rPr>
                <w:rFonts w:hint="eastAsia"/>
                <w:spacing w:val="0"/>
                <w:kern w:val="2"/>
                <w:sz w:val="21"/>
                <w:szCs w:val="21"/>
                <w:lang w:val="en-US" w:eastAsia="zh-CN" w:bidi="ar-SA"/>
              </w:rPr>
              <w:t>1.商品符合合同要求 商品合格率100%；</w:t>
            </w:r>
          </w:p>
          <w:p>
            <w:pPr>
              <w:pStyle w:val="2"/>
              <w:spacing w:line="300" w:lineRule="auto"/>
              <w:ind w:firstLine="420" w:firstLineChars="200"/>
              <w:rPr>
                <w:rFonts w:hint="eastAsia"/>
                <w:spacing w:val="0"/>
                <w:kern w:val="2"/>
                <w:sz w:val="21"/>
                <w:szCs w:val="21"/>
                <w:lang w:val="en-US" w:eastAsia="zh-CN" w:bidi="ar-SA"/>
              </w:rPr>
            </w:pPr>
            <w:r>
              <w:rPr>
                <w:rFonts w:hint="eastAsia"/>
                <w:spacing w:val="0"/>
                <w:kern w:val="2"/>
                <w:sz w:val="21"/>
                <w:szCs w:val="21"/>
                <w:lang w:val="en-US" w:eastAsia="zh-CN" w:bidi="ar-SA"/>
              </w:rPr>
              <w:t>2.顾客满意度≥ 95分；</w:t>
            </w:r>
          </w:p>
          <w:p>
            <w:pPr>
              <w:pStyle w:val="2"/>
              <w:spacing w:line="300" w:lineRule="auto"/>
              <w:ind w:firstLine="420" w:firstLineChars="200"/>
              <w:rPr>
                <w:rFonts w:hint="eastAsia"/>
                <w:spacing w:val="0"/>
                <w:kern w:val="2"/>
                <w:sz w:val="21"/>
                <w:szCs w:val="21"/>
                <w:lang w:val="en-US" w:eastAsia="zh-CN" w:bidi="ar-SA"/>
              </w:rPr>
            </w:pPr>
            <w:r>
              <w:rPr>
                <w:rFonts w:hint="eastAsia"/>
                <w:spacing w:val="0"/>
                <w:kern w:val="2"/>
                <w:sz w:val="21"/>
                <w:szCs w:val="21"/>
                <w:lang w:val="en-US" w:eastAsia="zh-CN" w:bidi="ar-SA"/>
              </w:rPr>
              <w:t>3.采购物品合格率≥100％；</w:t>
            </w:r>
          </w:p>
          <w:p>
            <w:pPr>
              <w:pStyle w:val="2"/>
              <w:spacing w:line="300" w:lineRule="auto"/>
              <w:ind w:firstLine="420" w:firstLineChars="200"/>
              <w:rPr>
                <w:rFonts w:hint="eastAsia"/>
                <w:spacing w:val="0"/>
                <w:kern w:val="2"/>
                <w:sz w:val="21"/>
                <w:szCs w:val="21"/>
                <w:lang w:val="en-US" w:eastAsia="zh-CN" w:bidi="ar-SA"/>
              </w:rPr>
            </w:pPr>
            <w:r>
              <w:rPr>
                <w:rFonts w:hint="eastAsia"/>
                <w:spacing w:val="0"/>
                <w:kern w:val="2"/>
                <w:sz w:val="21"/>
                <w:szCs w:val="21"/>
                <w:lang w:val="en-US" w:eastAsia="zh-CN" w:bidi="ar-SA"/>
              </w:rPr>
              <w:t>4.火灾事故发生率为0</w:t>
            </w:r>
          </w:p>
          <w:p>
            <w:pPr>
              <w:pStyle w:val="2"/>
              <w:spacing w:line="300" w:lineRule="auto"/>
              <w:ind w:firstLine="420" w:firstLineChars="200"/>
              <w:rPr>
                <w:rFonts w:hint="eastAsia"/>
                <w:color w:val="000000"/>
                <w:sz w:val="21"/>
                <w:szCs w:val="21"/>
              </w:rPr>
            </w:pPr>
            <w:r>
              <w:rPr>
                <w:rFonts w:hint="eastAsia"/>
                <w:spacing w:val="0"/>
                <w:kern w:val="2"/>
                <w:sz w:val="21"/>
                <w:szCs w:val="21"/>
                <w:lang w:val="en-US" w:eastAsia="zh-CN" w:bidi="ar-SA"/>
              </w:rPr>
              <w:t>5.固体废弃物分类处理100%</w:t>
            </w:r>
            <w:r>
              <w:rPr>
                <w:rFonts w:hint="eastAsia"/>
                <w:color w:val="000000"/>
                <w:sz w:val="21"/>
                <w:szCs w:val="21"/>
              </w:rPr>
              <w:t xml:space="preserve">                           </w:t>
            </w:r>
          </w:p>
          <w:p>
            <w:pPr>
              <w:spacing w:line="280" w:lineRule="exact"/>
              <w:ind w:firstLine="420" w:firstLineChars="200"/>
              <w:rPr>
                <w:rFonts w:hint="eastAsia"/>
                <w:color w:val="000000"/>
                <w:sz w:val="21"/>
                <w:szCs w:val="21"/>
              </w:rPr>
            </w:pPr>
            <w:r>
              <w:rPr>
                <w:rFonts w:hint="eastAsia"/>
                <w:color w:val="000000"/>
                <w:sz w:val="21"/>
                <w:szCs w:val="21"/>
              </w:rPr>
              <w:t>目标可测量，与公司方针一致。</w:t>
            </w:r>
          </w:p>
          <w:p>
            <w:pPr>
              <w:spacing w:line="280" w:lineRule="exact"/>
              <w:ind w:firstLine="420" w:firstLineChars="200"/>
              <w:rPr>
                <w:rFonts w:hint="default" w:ascii="宋体" w:hAnsi="宋体" w:eastAsia="宋体" w:cs="宋体"/>
                <w:sz w:val="24"/>
                <w:szCs w:val="24"/>
                <w:lang w:val="en-US" w:eastAsia="zh-CN"/>
              </w:rPr>
            </w:pPr>
            <w:r>
              <w:rPr>
                <w:rFonts w:hint="eastAsia"/>
                <w:color w:val="000000"/>
                <w:sz w:val="21"/>
                <w:szCs w:val="21"/>
              </w:rPr>
              <w:t>管理目标完成情况：查到</w:t>
            </w:r>
            <w:r>
              <w:rPr>
                <w:rFonts w:hint="eastAsia"/>
                <w:color w:val="000000"/>
                <w:sz w:val="21"/>
                <w:szCs w:val="21"/>
                <w:lang w:eastAsia="zh-CN"/>
              </w:rPr>
              <w:t>2020</w:t>
            </w:r>
            <w:r>
              <w:rPr>
                <w:rFonts w:hint="eastAsia"/>
                <w:color w:val="000000"/>
                <w:sz w:val="21"/>
                <w:szCs w:val="21"/>
              </w:rPr>
              <w:t>部门管理目标完成情况，以上管理目标已全部完成，</w:t>
            </w:r>
            <w:r>
              <w:rPr>
                <w:rFonts w:hint="eastAsia"/>
                <w:color w:val="000000"/>
                <w:sz w:val="21"/>
                <w:szCs w:val="21"/>
                <w:lang w:val="en-US" w:eastAsia="zh-CN"/>
              </w:rPr>
              <w:t>编制</w:t>
            </w:r>
            <w:r>
              <w:rPr>
                <w:rFonts w:hint="eastAsia"/>
                <w:color w:val="000000"/>
                <w:sz w:val="21"/>
                <w:szCs w:val="21"/>
              </w:rPr>
              <w:t>：</w:t>
            </w:r>
            <w:r>
              <w:rPr>
                <w:rFonts w:hint="eastAsia"/>
                <w:color w:val="000000"/>
                <w:sz w:val="21"/>
                <w:szCs w:val="21"/>
                <w:lang w:val="en-US" w:eastAsia="zh-CN"/>
              </w:rPr>
              <w:t>林森泉</w:t>
            </w:r>
            <w:r>
              <w:rPr>
                <w:rFonts w:hint="eastAsia"/>
                <w:color w:val="000000"/>
                <w:sz w:val="21"/>
                <w:szCs w:val="21"/>
              </w:rPr>
              <w:t xml:space="preserve">  审批：</w:t>
            </w:r>
            <w:r>
              <w:rPr>
                <w:rFonts w:hint="eastAsia"/>
                <w:color w:val="000000"/>
                <w:sz w:val="21"/>
                <w:szCs w:val="21"/>
                <w:lang w:eastAsia="zh-CN"/>
              </w:rPr>
              <w:t>陈建阳</w:t>
            </w:r>
            <w:r>
              <w:rPr>
                <w:rFonts w:hint="eastAsia"/>
                <w:color w:val="000000"/>
                <w:sz w:val="21"/>
                <w:szCs w:val="21"/>
              </w:rPr>
              <w:t>。</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基础</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cs="宋体"/>
                <w:color w:val="000000"/>
                <w:kern w:val="0"/>
                <w:sz w:val="21"/>
                <w:szCs w:val="21"/>
              </w:rPr>
            </w:pPr>
            <w:r>
              <w:rPr>
                <w:rFonts w:hint="eastAsia" w:ascii="宋体" w:hAnsi="宋体" w:eastAsia="宋体" w:cs="宋体"/>
                <w:sz w:val="21"/>
                <w:szCs w:val="21"/>
                <w:lang w:eastAsia="zh-CN"/>
              </w:rPr>
              <w:t>设施</w:t>
            </w:r>
          </w:p>
        </w:tc>
        <w:tc>
          <w:tcPr>
            <w:tcW w:w="1019" w:type="dxa"/>
            <w:vAlign w:val="top"/>
          </w:tcPr>
          <w:p>
            <w:pPr>
              <w:keepNext w:val="0"/>
              <w:keepLines w:val="0"/>
              <w:pageBreakBefore w:val="0"/>
              <w:widowControl w:val="0"/>
              <w:kinsoku/>
              <w:wordWrap/>
              <w:overflowPunct/>
              <w:topLinePunct w:val="0"/>
              <w:autoSpaceDE/>
              <w:autoSpaceDN/>
              <w:bidi w:val="0"/>
              <w:spacing w:line="280" w:lineRule="exac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Q</w:t>
            </w:r>
            <w:r>
              <w:rPr>
                <w:rFonts w:hint="eastAsia" w:ascii="宋体" w:hAnsi="宋体" w:eastAsia="宋体" w:cs="宋体"/>
                <w:sz w:val="21"/>
                <w:szCs w:val="21"/>
              </w:rPr>
              <w:t>7.1.3</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p>
        </w:tc>
        <w:tc>
          <w:tcPr>
            <w:tcW w:w="11223" w:type="dxa"/>
            <w:vAlign w:val="top"/>
          </w:tcPr>
          <w:p>
            <w:pPr>
              <w:spacing w:line="280" w:lineRule="exact"/>
              <w:ind w:firstLine="420" w:firstLineChars="200"/>
              <w:rPr>
                <w:rFonts w:hint="eastAsia"/>
                <w:color w:val="000000"/>
                <w:sz w:val="21"/>
                <w:szCs w:val="21"/>
              </w:rPr>
            </w:pPr>
            <w:r>
              <w:rPr>
                <w:rFonts w:hint="eastAsia"/>
                <w:color w:val="000000"/>
                <w:sz w:val="21"/>
                <w:szCs w:val="21"/>
              </w:rPr>
              <w:t>管理手册对公司的产品销售所适用的设备设施和工作环境进行了规定。组织对从事质量活动人员提供相应的设施，以确保满足产品要求的符合性。</w:t>
            </w:r>
          </w:p>
          <w:p>
            <w:pPr>
              <w:spacing w:line="280" w:lineRule="exact"/>
              <w:ind w:firstLine="420" w:firstLineChars="200"/>
              <w:rPr>
                <w:rFonts w:hint="eastAsia"/>
                <w:color w:val="000000"/>
                <w:sz w:val="21"/>
                <w:szCs w:val="21"/>
              </w:rPr>
            </w:pPr>
            <w:r>
              <w:rPr>
                <w:rFonts w:hint="eastAsia"/>
                <w:color w:val="000000"/>
                <w:sz w:val="21"/>
                <w:szCs w:val="21"/>
              </w:rPr>
              <w:t>1.现场审核基础设施主要包括：</w:t>
            </w:r>
            <w:r>
              <w:rPr>
                <w:rFonts w:hint="eastAsia"/>
                <w:color w:val="000000"/>
                <w:sz w:val="21"/>
                <w:szCs w:val="21"/>
                <w:lang w:val="en-US" w:eastAsia="zh-CN"/>
              </w:rPr>
              <w:t>办公房屋</w:t>
            </w:r>
            <w:r>
              <w:rPr>
                <w:rFonts w:hint="eastAsia"/>
                <w:color w:val="000000"/>
                <w:sz w:val="21"/>
                <w:szCs w:val="21"/>
                <w:lang w:eastAsia="zh-CN"/>
              </w:rPr>
              <w:t>、</w:t>
            </w:r>
            <w:r>
              <w:rPr>
                <w:rFonts w:hint="eastAsia"/>
                <w:color w:val="000000"/>
                <w:sz w:val="21"/>
                <w:szCs w:val="21"/>
              </w:rPr>
              <w:t>办公桌椅、档案橱、空调、电话、电脑、打印机、无线WIFI网络</w:t>
            </w:r>
            <w:r>
              <w:rPr>
                <w:rFonts w:hint="eastAsia"/>
                <w:color w:val="000000"/>
                <w:sz w:val="21"/>
                <w:szCs w:val="21"/>
                <w:lang w:eastAsia="zh-CN"/>
              </w:rPr>
              <w:t>、</w:t>
            </w:r>
            <w:r>
              <w:rPr>
                <w:rFonts w:hint="eastAsia"/>
                <w:color w:val="000000"/>
                <w:sz w:val="21"/>
                <w:szCs w:val="21"/>
                <w:lang w:val="en-US" w:eastAsia="zh-CN"/>
              </w:rPr>
              <w:t>车辆</w:t>
            </w:r>
            <w:r>
              <w:rPr>
                <w:rFonts w:hint="eastAsia"/>
                <w:color w:val="000000"/>
                <w:sz w:val="21"/>
                <w:szCs w:val="21"/>
              </w:rPr>
              <w:t>等设施。</w:t>
            </w:r>
          </w:p>
          <w:p>
            <w:pPr>
              <w:spacing w:line="280" w:lineRule="exact"/>
              <w:ind w:firstLine="420" w:firstLineChars="200"/>
              <w:rPr>
                <w:rFonts w:hint="eastAsia"/>
                <w:color w:val="000000"/>
                <w:sz w:val="21"/>
                <w:szCs w:val="21"/>
                <w:lang w:val="en-US" w:eastAsia="zh-CN"/>
              </w:rPr>
            </w:pPr>
            <w:r>
              <w:rPr>
                <w:rFonts w:hint="eastAsia"/>
                <w:color w:val="000000"/>
                <w:sz w:val="21"/>
                <w:szCs w:val="21"/>
              </w:rPr>
              <w:t>2.查设备保养：负责人介绍了设备管理相关要求，日常对办公设备进行清洁保养，定期杀毒和系统升级，发生故障时联系当地供应商进行维修。</w:t>
            </w:r>
            <w:r>
              <w:rPr>
                <w:rFonts w:hint="eastAsia"/>
                <w:color w:val="000000"/>
                <w:sz w:val="21"/>
                <w:szCs w:val="21"/>
                <w:lang w:val="en-US" w:eastAsia="zh-CN"/>
              </w:rPr>
              <w:t>目前电脑设备2019年底采购零配件组装，暂未进行维修，使用者定期对设备进行</w:t>
            </w:r>
            <w:r>
              <w:rPr>
                <w:rFonts w:hint="eastAsia"/>
                <w:color w:val="000000"/>
                <w:sz w:val="21"/>
                <w:szCs w:val="21"/>
              </w:rPr>
              <w:t>清洁保养，定期杀毒和系统升级</w:t>
            </w:r>
            <w:r>
              <w:rPr>
                <w:rFonts w:hint="eastAsia"/>
                <w:color w:val="000000"/>
                <w:sz w:val="21"/>
                <w:szCs w:val="21"/>
                <w:lang w:val="en-US" w:eastAsia="zh-CN"/>
              </w:rPr>
              <w:t>。</w:t>
            </w:r>
          </w:p>
          <w:p>
            <w:pPr>
              <w:spacing w:line="280" w:lineRule="exact"/>
              <w:ind w:firstLine="420" w:firstLineChars="200"/>
              <w:rPr>
                <w:rFonts w:hint="eastAsia"/>
                <w:color w:val="000000"/>
                <w:sz w:val="21"/>
                <w:szCs w:val="21"/>
              </w:rPr>
            </w:pPr>
            <w:r>
              <w:rPr>
                <w:rFonts w:hint="eastAsia"/>
                <w:color w:val="000000"/>
                <w:sz w:val="21"/>
                <w:szCs w:val="21"/>
              </w:rPr>
              <w:t>3. 查特种设备：经确认目前无特种设备。</w:t>
            </w:r>
          </w:p>
          <w:p>
            <w:pPr>
              <w:spacing w:line="280" w:lineRule="exact"/>
              <w:ind w:firstLine="420" w:firstLineChars="200"/>
              <w:rPr>
                <w:rFonts w:hint="eastAsia"/>
                <w:color w:val="000000"/>
                <w:sz w:val="21"/>
                <w:szCs w:val="21"/>
              </w:rPr>
            </w:pPr>
            <w:r>
              <w:rPr>
                <w:rFonts w:hint="eastAsia"/>
                <w:color w:val="000000"/>
                <w:sz w:val="21"/>
                <w:szCs w:val="21"/>
              </w:rPr>
              <w:t>4.查设施配备是否满足体系运行的要求：经现场查验上述基础设施均处于有效状态，运转良好。目前</w:t>
            </w:r>
            <w:r>
              <w:rPr>
                <w:rFonts w:hint="eastAsia"/>
                <w:color w:val="000000"/>
                <w:sz w:val="21"/>
                <w:szCs w:val="21"/>
                <w:lang w:val="en-US" w:eastAsia="zh-CN"/>
              </w:rPr>
              <w:t>该</w:t>
            </w:r>
            <w:r>
              <w:rPr>
                <w:rFonts w:hint="eastAsia"/>
                <w:color w:val="000000"/>
                <w:sz w:val="21"/>
                <w:szCs w:val="21"/>
              </w:rPr>
              <w:t>公司的设备配备能满足现有的经营需求。</w:t>
            </w:r>
          </w:p>
          <w:p>
            <w:pPr>
              <w:spacing w:line="280" w:lineRule="exact"/>
              <w:ind w:firstLine="420" w:firstLineChars="200"/>
              <w:rPr>
                <w:rFonts w:hint="eastAsia"/>
                <w:color w:val="000000"/>
                <w:sz w:val="21"/>
                <w:szCs w:val="21"/>
              </w:rPr>
            </w:pPr>
            <w:r>
              <w:rPr>
                <w:rFonts w:hint="eastAsia"/>
                <w:color w:val="000000"/>
                <w:sz w:val="21"/>
                <w:szCs w:val="21"/>
              </w:rPr>
              <w:t>基础设施管理基本可以满足公司目前体系运行的需要。</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707" w:type="dxa"/>
            <w:vAlign w:val="top"/>
          </w:tcPr>
          <w:p>
            <w:pPr>
              <w:keepNext w:val="0"/>
              <w:keepLines w:val="0"/>
              <w:pageBreakBefore w:val="0"/>
              <w:widowControl w:val="0"/>
              <w:kinsoku/>
              <w:wordWrap/>
              <w:overflowPunct/>
              <w:topLinePunct w:val="0"/>
              <w:autoSpaceDE/>
              <w:autoSpaceDN/>
              <w:bidi w:val="0"/>
              <w:spacing w:line="28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过程运行环境</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cs="宋体"/>
                <w:color w:val="000000"/>
                <w:kern w:val="0"/>
                <w:sz w:val="21"/>
                <w:szCs w:val="21"/>
              </w:rPr>
            </w:pPr>
          </w:p>
        </w:tc>
        <w:tc>
          <w:tcPr>
            <w:tcW w:w="1019" w:type="dxa"/>
            <w:vAlign w:val="top"/>
          </w:tcPr>
          <w:p>
            <w:pPr>
              <w:keepNext w:val="0"/>
              <w:keepLines w:val="0"/>
              <w:pageBreakBefore w:val="0"/>
              <w:widowControl w:val="0"/>
              <w:kinsoku/>
              <w:wordWrap/>
              <w:overflowPunct/>
              <w:topLinePunct w:val="0"/>
              <w:autoSpaceDE/>
              <w:autoSpaceDN/>
              <w:bidi w:val="0"/>
              <w:spacing w:line="280" w:lineRule="exac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Q</w:t>
            </w:r>
            <w:r>
              <w:rPr>
                <w:rFonts w:hint="eastAsia" w:ascii="宋体" w:hAnsi="宋体" w:eastAsia="宋体" w:cs="宋体"/>
                <w:sz w:val="21"/>
                <w:szCs w:val="21"/>
              </w:rPr>
              <w:t>7.1.4</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p>
        </w:tc>
        <w:tc>
          <w:tcPr>
            <w:tcW w:w="11223" w:type="dxa"/>
            <w:vAlign w:val="top"/>
          </w:tcPr>
          <w:p>
            <w:pPr>
              <w:keepNext w:val="0"/>
              <w:keepLines w:val="0"/>
              <w:pageBreakBefore w:val="0"/>
              <w:widowControl w:val="0"/>
              <w:kinsoku/>
              <w:wordWrap/>
              <w:overflowPunct/>
              <w:topLinePunct w:val="0"/>
              <w:autoSpaceDE/>
              <w:autoSpaceDN/>
              <w:bidi w:val="0"/>
              <w:spacing w:line="280" w:lineRule="exact"/>
              <w:ind w:firstLine="420" w:firstLineChars="200"/>
              <w:textAlignment w:val="auto"/>
              <w:outlineLvl w:val="9"/>
              <w:rPr>
                <w:rFonts w:hint="eastAsia"/>
                <w:color w:val="000000"/>
                <w:sz w:val="21"/>
                <w:szCs w:val="21"/>
              </w:rPr>
            </w:pPr>
            <w:r>
              <w:rPr>
                <w:rFonts w:hint="eastAsia" w:ascii="宋体" w:hAnsi="宋体" w:eastAsia="宋体" w:cs="宋体"/>
                <w:sz w:val="21"/>
                <w:szCs w:val="21"/>
              </w:rPr>
              <w:t>公司办公</w:t>
            </w:r>
            <w:r>
              <w:rPr>
                <w:rFonts w:hint="eastAsia" w:ascii="宋体" w:hAnsi="宋体" w:cs="宋体"/>
                <w:sz w:val="21"/>
                <w:szCs w:val="21"/>
                <w:lang w:val="en-US" w:eastAsia="zh-CN"/>
              </w:rPr>
              <w:t>和产品放置</w:t>
            </w:r>
            <w:r>
              <w:rPr>
                <w:rFonts w:hint="eastAsia" w:ascii="宋体" w:hAnsi="宋体" w:eastAsia="宋体" w:cs="宋体"/>
                <w:sz w:val="21"/>
                <w:szCs w:val="21"/>
              </w:rPr>
              <w:t>场地环境</w:t>
            </w:r>
            <w:r>
              <w:rPr>
                <w:rFonts w:hint="eastAsia" w:ascii="宋体" w:hAnsi="宋体" w:cs="宋体"/>
                <w:sz w:val="21"/>
                <w:szCs w:val="21"/>
                <w:lang w:val="en-US" w:eastAsia="zh-CN"/>
              </w:rPr>
              <w:t>基本</w:t>
            </w:r>
            <w:r>
              <w:rPr>
                <w:rFonts w:hint="eastAsia" w:ascii="宋体" w:hAnsi="宋体" w:eastAsia="宋体" w:cs="宋体"/>
                <w:sz w:val="21"/>
                <w:szCs w:val="21"/>
              </w:rPr>
              <w:t>干净整洁、办公通讯设施完善，能得到良好的维护，环境适宜，适宜于产品的销售过程控制要求。工作现场对于环境主要应注意消防安全、办公场地的干净整洁，要求作业人员注意设备、防火和电器安全等。</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707" w:type="dxa"/>
            <w:vAlign w:val="top"/>
          </w:tcPr>
          <w:p>
            <w:pPr>
              <w:keepNext w:val="0"/>
              <w:keepLines w:val="0"/>
              <w:pageBreakBefore w:val="0"/>
              <w:widowControl w:val="0"/>
              <w:kinsoku/>
              <w:wordWrap/>
              <w:overflowPunct/>
              <w:topLinePunct w:val="0"/>
              <w:autoSpaceDE/>
              <w:autoSpaceDN/>
              <w:bidi w:val="0"/>
              <w:spacing w:line="28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运行的策划和控制</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cs="宋体"/>
                <w:color w:val="000000"/>
                <w:kern w:val="0"/>
                <w:sz w:val="21"/>
                <w:szCs w:val="21"/>
              </w:rPr>
            </w:pPr>
          </w:p>
        </w:tc>
        <w:tc>
          <w:tcPr>
            <w:tcW w:w="1019" w:type="dxa"/>
            <w:vAlign w:val="top"/>
          </w:tcPr>
          <w:p>
            <w:pPr>
              <w:keepNext w:val="0"/>
              <w:keepLines w:val="0"/>
              <w:pageBreakBefore w:val="0"/>
              <w:widowControl w:val="0"/>
              <w:kinsoku/>
              <w:wordWrap/>
              <w:overflowPunct/>
              <w:topLinePunct w:val="0"/>
              <w:autoSpaceDE/>
              <w:autoSpaceDN/>
              <w:bidi w:val="0"/>
              <w:spacing w:line="280" w:lineRule="exac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Q</w:t>
            </w:r>
            <w:r>
              <w:rPr>
                <w:rFonts w:hint="eastAsia" w:ascii="宋体" w:hAnsi="宋体" w:eastAsia="宋体" w:cs="宋体"/>
                <w:sz w:val="21"/>
                <w:szCs w:val="21"/>
              </w:rPr>
              <w:t>8.1</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p>
        </w:tc>
        <w:tc>
          <w:tcPr>
            <w:tcW w:w="11223" w:type="dxa"/>
            <w:vAlign w:val="top"/>
          </w:tcPr>
          <w:p>
            <w:pPr>
              <w:spacing w:line="280" w:lineRule="exact"/>
              <w:ind w:firstLine="420" w:firstLineChars="200"/>
              <w:rPr>
                <w:rFonts w:hint="eastAsia"/>
                <w:color w:val="000000"/>
                <w:sz w:val="21"/>
                <w:szCs w:val="21"/>
                <w:lang w:eastAsia="zh-CN"/>
              </w:rPr>
            </w:pPr>
            <w:r>
              <w:rPr>
                <w:rFonts w:hint="eastAsia"/>
                <w:color w:val="000000"/>
                <w:sz w:val="21"/>
                <w:szCs w:val="21"/>
                <w:lang w:eastAsia="zh-CN"/>
              </w:rPr>
              <w:t>产品的实现过程策划主要由总经理和业务部负责人负责完成，过程策划包含了石材制品、石雕工艺品、墓碑的销售（法规强制要求范围除外）(沉香丝)的销售所需要达到的质量目标和要求。</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执行标准</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依据《</w:t>
            </w:r>
            <w:r>
              <w:rPr>
                <w:rFonts w:hint="eastAsia"/>
                <w:color w:val="000000"/>
                <w:sz w:val="21"/>
                <w:szCs w:val="21"/>
                <w:lang w:val="en-US" w:eastAsia="zh-CN"/>
              </w:rPr>
              <w:t>中华人民共和国合同法</w:t>
            </w:r>
            <w:r>
              <w:rPr>
                <w:rFonts w:hint="eastAsia"/>
                <w:color w:val="000000"/>
                <w:sz w:val="21"/>
                <w:szCs w:val="21"/>
                <w:lang w:eastAsia="zh-CN"/>
              </w:rPr>
              <w:t>》</w:t>
            </w:r>
            <w:r>
              <w:rPr>
                <w:rFonts w:hint="eastAsia"/>
                <w:color w:val="000000"/>
                <w:sz w:val="21"/>
                <w:szCs w:val="21"/>
                <w:lang w:val="en-US" w:eastAsia="zh-CN"/>
              </w:rPr>
              <w:t>、《中华人民共和国公司法》、《中华人民共和国反不正当竞争法》及</w:t>
            </w:r>
            <w:r>
              <w:rPr>
                <w:rFonts w:hint="eastAsia"/>
                <w:color w:val="000000"/>
                <w:sz w:val="21"/>
                <w:szCs w:val="21"/>
                <w:lang w:eastAsia="zh-CN"/>
              </w:rPr>
              <w:t>客户要求等。</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编制了相应的过程文件：</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（1）编制了销售服务流程：接订单 —&gt; 合同评审 —&gt; 签订合同 —&gt; 组织货源 —&gt; 验货 —&gt; 发货 —&gt; 售后服务</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（2）制定了作业指导书《</w:t>
            </w:r>
            <w:r>
              <w:rPr>
                <w:rFonts w:hint="eastAsia"/>
              </w:rPr>
              <w:t>销售管理程序</w:t>
            </w:r>
            <w:r>
              <w:rPr>
                <w:rFonts w:hint="eastAsia"/>
                <w:color w:val="000000"/>
                <w:sz w:val="21"/>
                <w:szCs w:val="21"/>
                <w:lang w:eastAsia="zh-CN"/>
              </w:rPr>
              <w:t>》、《</w:t>
            </w:r>
            <w:r>
              <w:rPr>
                <w:rFonts w:hint="eastAsia"/>
              </w:rPr>
              <w:t>产品要求确定及合同订单评审管理程序</w:t>
            </w:r>
            <w:r>
              <w:rPr>
                <w:rFonts w:hint="eastAsia"/>
                <w:color w:val="000000"/>
                <w:sz w:val="21"/>
                <w:szCs w:val="21"/>
                <w:lang w:eastAsia="zh-CN"/>
              </w:rPr>
              <w:t>》、《</w:t>
            </w:r>
            <w:r>
              <w:rPr>
                <w:rFonts w:hint="eastAsia"/>
              </w:rPr>
              <w:t>过程管理程序</w:t>
            </w:r>
            <w:r>
              <w:rPr>
                <w:rFonts w:hint="eastAsia"/>
                <w:color w:val="000000"/>
                <w:sz w:val="21"/>
                <w:szCs w:val="21"/>
                <w:lang w:eastAsia="zh-CN"/>
              </w:rPr>
              <w:t>》；</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（3）规定了产品的检验验收准则，并制定了相应的检验规范；《</w:t>
            </w:r>
            <w:r>
              <w:rPr>
                <w:rFonts w:hint="eastAsia"/>
              </w:rPr>
              <w:t>采购管理程序</w:t>
            </w:r>
            <w:r>
              <w:rPr>
                <w:rFonts w:hint="eastAsia"/>
                <w:color w:val="000000"/>
                <w:sz w:val="21"/>
                <w:szCs w:val="21"/>
                <w:lang w:eastAsia="zh-CN"/>
              </w:rPr>
              <w:t>》、《</w:t>
            </w:r>
            <w:r>
              <w:rPr>
                <w:rFonts w:hint="eastAsia"/>
              </w:rPr>
              <w:t>供应商管理程序</w:t>
            </w:r>
            <w:r>
              <w:rPr>
                <w:rFonts w:hint="eastAsia"/>
                <w:color w:val="000000"/>
                <w:sz w:val="21"/>
                <w:szCs w:val="21"/>
                <w:lang w:eastAsia="zh-CN"/>
              </w:rPr>
              <w:t>》；</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（4）现场对销售各过程填写有产品检验记录、销售人员工作监督表、不合格品处置单、发货单等各种监视和测量记录；</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（5）资源的提供。销售服务过程中使用的设备：电话、电脑、网络、复印机、</w:t>
            </w:r>
            <w:r>
              <w:rPr>
                <w:rFonts w:hint="eastAsia"/>
                <w:color w:val="000000"/>
                <w:sz w:val="21"/>
                <w:szCs w:val="21"/>
                <w:lang w:val="en-US" w:eastAsia="zh-CN"/>
              </w:rPr>
              <w:t>特种设备</w:t>
            </w:r>
            <w:r>
              <w:rPr>
                <w:rFonts w:hint="eastAsia"/>
                <w:color w:val="000000"/>
                <w:sz w:val="21"/>
                <w:szCs w:val="21"/>
                <w:lang w:eastAsia="zh-CN"/>
              </w:rPr>
              <w:t>等，以上设备配置适宜，能确保服务的实现。</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主要监测设备有：无。</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目前无其他特定销售服务和合同的策划。</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组织对外包过程的控制详见8.4审核记录，到目前为止，组织运行没有变更，问其有关要求，基本了解。</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以上销售服务实现的策划工作基本符合要求，能确保销售服务实现和质量目标的实现。</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该公司销售服务提供过程策划符合要求。</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关键过程：验货、发货</w:t>
            </w:r>
          </w:p>
          <w:p>
            <w:pPr>
              <w:spacing w:line="280" w:lineRule="exact"/>
              <w:ind w:firstLine="420" w:firstLineChars="200"/>
              <w:rPr>
                <w:rFonts w:hint="eastAsia"/>
                <w:color w:val="000000"/>
                <w:sz w:val="21"/>
                <w:szCs w:val="21"/>
                <w:lang w:val="en-US" w:eastAsia="zh-CN"/>
              </w:rPr>
            </w:pPr>
            <w:r>
              <w:rPr>
                <w:rFonts w:hint="eastAsia"/>
                <w:color w:val="000000"/>
                <w:sz w:val="21"/>
                <w:szCs w:val="21"/>
                <w:lang w:val="en-US" w:eastAsia="zh-CN"/>
              </w:rPr>
              <w:t>特殊过程：销售</w:t>
            </w:r>
          </w:p>
          <w:p>
            <w:pPr>
              <w:spacing w:line="280" w:lineRule="exact"/>
              <w:ind w:firstLine="420" w:firstLineChars="200"/>
              <w:rPr>
                <w:rFonts w:hint="default"/>
                <w:color w:val="000000"/>
                <w:sz w:val="21"/>
                <w:szCs w:val="21"/>
                <w:lang w:val="en-US" w:eastAsia="zh-CN"/>
              </w:rPr>
            </w:pPr>
            <w:r>
              <w:rPr>
                <w:rFonts w:hint="eastAsia"/>
                <w:color w:val="000000"/>
                <w:sz w:val="21"/>
                <w:szCs w:val="21"/>
                <w:lang w:val="en-US" w:eastAsia="zh-CN"/>
              </w:rPr>
              <w:t>提供《销售服务过程确认记录》，</w:t>
            </w:r>
            <w:r>
              <w:rPr>
                <w:rFonts w:hint="eastAsia" w:ascii="宋体" w:hAnsi="宋体" w:eastAsia="宋体" w:cs="宋体"/>
              </w:rPr>
              <w:t>通过对人员、办公设备、物资资料、作业方法、工作环境和市场环境五个方面的综合确认,本公司销售服务过程的作业能力能够持续的实现预期的结果。</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1707" w:type="dxa"/>
            <w:vAlign w:val="top"/>
          </w:tcPr>
          <w:p>
            <w:pPr>
              <w:spacing w:line="280" w:lineRule="exact"/>
              <w:rPr>
                <w:color w:val="000000"/>
                <w:sz w:val="21"/>
                <w:szCs w:val="21"/>
              </w:rPr>
            </w:pPr>
            <w:r>
              <w:rPr>
                <w:rFonts w:hint="eastAsia"/>
                <w:color w:val="000000"/>
                <w:sz w:val="21"/>
                <w:szCs w:val="21"/>
              </w:rPr>
              <w:t>产品和服务的要求</w:t>
            </w:r>
          </w:p>
          <w:p>
            <w:pPr>
              <w:spacing w:line="280" w:lineRule="exact"/>
              <w:rPr>
                <w:rFonts w:hint="eastAsia" w:ascii="宋体" w:hAnsi="宋体" w:eastAsia="宋体" w:cs="宋体"/>
                <w:sz w:val="24"/>
                <w:szCs w:val="24"/>
              </w:rPr>
            </w:pPr>
          </w:p>
        </w:tc>
        <w:tc>
          <w:tcPr>
            <w:tcW w:w="1019" w:type="dxa"/>
            <w:vAlign w:val="top"/>
          </w:tcPr>
          <w:p>
            <w:pPr>
              <w:spacing w:line="280" w:lineRule="exact"/>
              <w:rPr>
                <w:color w:val="000000"/>
                <w:sz w:val="21"/>
                <w:szCs w:val="21"/>
              </w:rPr>
            </w:pPr>
            <w:r>
              <w:rPr>
                <w:rFonts w:hint="eastAsia"/>
                <w:color w:val="000000"/>
                <w:sz w:val="21"/>
                <w:szCs w:val="21"/>
              </w:rPr>
              <w:t>Q</w:t>
            </w:r>
            <w:r>
              <w:rPr>
                <w:color w:val="000000"/>
                <w:sz w:val="21"/>
                <w:szCs w:val="21"/>
              </w:rPr>
              <w:t>8.2</w:t>
            </w:r>
          </w:p>
          <w:p>
            <w:pPr>
              <w:spacing w:line="280" w:lineRule="exact"/>
              <w:rPr>
                <w:rFonts w:hint="eastAsia" w:ascii="宋体" w:hAnsi="宋体" w:eastAsia="宋体" w:cs="宋体"/>
                <w:sz w:val="24"/>
                <w:szCs w:val="24"/>
              </w:rPr>
            </w:pPr>
          </w:p>
        </w:tc>
        <w:tc>
          <w:tcPr>
            <w:tcW w:w="11223" w:type="dxa"/>
            <w:vAlign w:val="top"/>
          </w:tcPr>
          <w:p>
            <w:pPr>
              <w:spacing w:line="280" w:lineRule="exact"/>
              <w:ind w:firstLine="420" w:firstLineChars="200"/>
              <w:rPr>
                <w:color w:val="000000"/>
                <w:sz w:val="21"/>
                <w:szCs w:val="21"/>
              </w:rPr>
            </w:pPr>
            <w:r>
              <w:rPr>
                <w:rFonts w:hint="eastAsia"/>
                <w:color w:val="000000"/>
                <w:sz w:val="21"/>
                <w:szCs w:val="21"/>
                <w:lang w:eastAsia="zh-CN"/>
              </w:rPr>
              <w:t>业务部</w:t>
            </w:r>
            <w:r>
              <w:rPr>
                <w:rFonts w:hint="eastAsia"/>
                <w:color w:val="000000"/>
                <w:sz w:val="21"/>
                <w:szCs w:val="21"/>
              </w:rPr>
              <w:t>通过和客户电话联系、上门回访、邮箱联系等方式进行服务宣传，向顾客介绍服务，回答顾客的咨询，让顾客了解公司及服务情况。</w:t>
            </w:r>
            <w:r>
              <w:rPr>
                <w:rFonts w:hint="eastAsia"/>
                <w:color w:val="000000"/>
                <w:sz w:val="21"/>
                <w:szCs w:val="21"/>
                <w:lang w:eastAsia="zh-CN"/>
              </w:rPr>
              <w:t>业务部</w:t>
            </w:r>
            <w:r>
              <w:rPr>
                <w:rFonts w:hint="eastAsia"/>
                <w:color w:val="000000"/>
                <w:sz w:val="21"/>
                <w:szCs w:val="21"/>
              </w:rPr>
              <w:t>负责就合同或订单的处理，合同的评审，向顾客提供符合要求的服务。每年向顾客发放</w:t>
            </w:r>
            <w:r>
              <w:rPr>
                <w:rFonts w:hint="eastAsia"/>
                <w:color w:val="000000"/>
                <w:sz w:val="21"/>
                <w:szCs w:val="21"/>
                <w:lang w:eastAsia="zh-CN"/>
              </w:rPr>
              <w:t>顾客</w:t>
            </w:r>
            <w:r>
              <w:rPr>
                <w:rFonts w:hint="eastAsia"/>
                <w:color w:val="000000"/>
                <w:sz w:val="21"/>
                <w:szCs w:val="21"/>
              </w:rPr>
              <w:t>满意度调查表或微信等网络形式了解顾客的需求和期望。</w:t>
            </w:r>
          </w:p>
          <w:p>
            <w:pPr>
              <w:spacing w:line="280" w:lineRule="exact"/>
              <w:ind w:firstLine="420" w:firstLineChars="200"/>
              <w:rPr>
                <w:color w:val="000000"/>
                <w:sz w:val="21"/>
                <w:szCs w:val="21"/>
              </w:rPr>
            </w:pPr>
            <w:r>
              <w:rPr>
                <w:rFonts w:hint="eastAsia"/>
                <w:color w:val="000000"/>
                <w:sz w:val="21"/>
                <w:szCs w:val="21"/>
              </w:rPr>
              <w:t>公司编制的管理手册中规定了与服务有关要求的确定、评审以及更改的职责和工作流程要求。</w:t>
            </w:r>
          </w:p>
          <w:p>
            <w:pPr>
              <w:spacing w:line="280" w:lineRule="exact"/>
              <w:ind w:firstLine="420" w:firstLineChars="200"/>
              <w:rPr>
                <w:color w:val="000000"/>
                <w:sz w:val="21"/>
                <w:szCs w:val="21"/>
              </w:rPr>
            </w:pPr>
            <w:r>
              <w:rPr>
                <w:rFonts w:hint="eastAsia"/>
                <w:color w:val="000000"/>
                <w:sz w:val="21"/>
                <w:szCs w:val="21"/>
              </w:rPr>
              <w:t>顾客明确规定的要求通过与顾客签订合同，公司按顾客要求组织服务，并以传真等方式进行沟通、确认，并对</w:t>
            </w:r>
            <w:r>
              <w:rPr>
                <w:rFonts w:hint="eastAsia"/>
                <w:color w:val="000000"/>
                <w:sz w:val="21"/>
                <w:szCs w:val="21"/>
                <w:lang w:eastAsia="zh-CN"/>
              </w:rPr>
              <w:t>石材制品、石雕工艺品、墓碑的销售（法规强制要求范围除外）的销售</w:t>
            </w:r>
            <w:r>
              <w:rPr>
                <w:rFonts w:hint="eastAsia"/>
                <w:color w:val="000000"/>
                <w:sz w:val="21"/>
                <w:szCs w:val="21"/>
              </w:rPr>
              <w:t>要求等给予了明确。</w:t>
            </w:r>
          </w:p>
          <w:p>
            <w:pPr>
              <w:spacing w:line="280" w:lineRule="exact"/>
              <w:ind w:firstLine="420" w:firstLineChars="200"/>
              <w:rPr>
                <w:rFonts w:hint="eastAsia"/>
                <w:color w:val="000000"/>
                <w:sz w:val="21"/>
                <w:szCs w:val="21"/>
              </w:rPr>
            </w:pPr>
            <w:r>
              <w:rPr>
                <w:rFonts w:hint="eastAsia"/>
                <w:color w:val="000000"/>
                <w:sz w:val="21"/>
                <w:szCs w:val="21"/>
              </w:rPr>
              <w:t>公司</w:t>
            </w:r>
            <w:r>
              <w:rPr>
                <w:rFonts w:hint="eastAsia"/>
                <w:color w:val="000000"/>
                <w:sz w:val="21"/>
                <w:szCs w:val="21"/>
                <w:lang w:eastAsia="zh-CN"/>
              </w:rPr>
              <w:t>石材制品、石雕工艺品、墓碑的销售（法规强制要求范围除外）的销售</w:t>
            </w:r>
            <w:r>
              <w:rPr>
                <w:rFonts w:hint="eastAsia"/>
                <w:color w:val="000000"/>
                <w:sz w:val="21"/>
                <w:szCs w:val="21"/>
              </w:rPr>
              <w:t>基本已成熟，</w:t>
            </w:r>
            <w:r>
              <w:rPr>
                <w:rFonts w:hint="eastAsia"/>
                <w:color w:val="000000"/>
                <w:sz w:val="21"/>
                <w:szCs w:val="21"/>
                <w:lang w:eastAsia="zh-CN"/>
              </w:rPr>
              <w:t>业务部</w:t>
            </w:r>
            <w:r>
              <w:rPr>
                <w:rFonts w:hint="eastAsia"/>
                <w:color w:val="000000"/>
                <w:sz w:val="21"/>
                <w:szCs w:val="21"/>
              </w:rPr>
              <w:t>部长审核后直接在合同上签字即完成合同评审，特殊合同需相关部门人员一起评审，评审过程记录在《产品要求评审表》上。目前承接的合同是常规合同。</w:t>
            </w:r>
          </w:p>
          <w:p>
            <w:pPr>
              <w:spacing w:line="280" w:lineRule="exact"/>
              <w:ind w:firstLine="420" w:firstLineChars="200"/>
              <w:rPr>
                <w:rFonts w:hint="eastAsia"/>
                <w:color w:val="000000"/>
                <w:sz w:val="21"/>
                <w:szCs w:val="21"/>
              </w:rPr>
            </w:pPr>
            <w:r>
              <w:rPr>
                <w:rFonts w:hint="eastAsia"/>
                <w:color w:val="000000"/>
                <w:sz w:val="21"/>
                <w:szCs w:val="21"/>
                <w:lang w:val="en-US" w:eastAsia="zh-CN"/>
              </w:rPr>
              <w:t>抽：河南南阳宝座山陵园</w:t>
            </w:r>
            <w:r>
              <w:rPr>
                <w:rFonts w:hint="eastAsia"/>
                <w:color w:val="000000"/>
                <w:sz w:val="21"/>
                <w:szCs w:val="21"/>
                <w:lang w:eastAsia="zh-CN"/>
              </w:rPr>
              <w:t>、</w:t>
            </w:r>
            <w:r>
              <w:rPr>
                <w:rFonts w:hint="eastAsia"/>
                <w:color w:val="000000"/>
                <w:sz w:val="21"/>
                <w:szCs w:val="21"/>
                <w:lang w:val="en-US" w:eastAsia="zh-CN"/>
              </w:rPr>
              <w:t>成都市峰和石材有限公司销售合同</w:t>
            </w:r>
            <w:r>
              <w:rPr>
                <w:rFonts w:hint="eastAsia"/>
                <w:color w:val="000000"/>
                <w:sz w:val="21"/>
                <w:szCs w:val="21"/>
              </w:rPr>
              <w:t>。</w:t>
            </w:r>
          </w:p>
          <w:p>
            <w:pPr>
              <w:spacing w:line="280" w:lineRule="exact"/>
              <w:ind w:firstLine="420" w:firstLineChars="200"/>
              <w:rPr>
                <w:color w:val="000000"/>
                <w:sz w:val="21"/>
                <w:szCs w:val="21"/>
              </w:rPr>
            </w:pPr>
            <w:r>
              <w:rPr>
                <w:rFonts w:hint="eastAsia"/>
                <w:color w:val="000000"/>
                <w:sz w:val="21"/>
                <w:szCs w:val="21"/>
              </w:rPr>
              <w:t>抽查：</w:t>
            </w:r>
          </w:p>
          <w:p>
            <w:pPr>
              <w:spacing w:line="280" w:lineRule="exact"/>
              <w:ind w:firstLine="420" w:firstLineChars="200"/>
              <w:rPr>
                <w:rFonts w:hint="eastAsia"/>
                <w:color w:val="000000"/>
                <w:sz w:val="21"/>
                <w:szCs w:val="21"/>
              </w:rPr>
            </w:pPr>
            <w:r>
              <w:rPr>
                <w:rFonts w:hint="eastAsia"/>
                <w:color w:val="000000"/>
                <w:sz w:val="21"/>
                <w:szCs w:val="21"/>
              </w:rPr>
              <w:t>1、</w:t>
            </w:r>
            <w:r>
              <w:rPr>
                <w:rFonts w:hint="eastAsia"/>
                <w:color w:val="000000"/>
                <w:sz w:val="21"/>
                <w:szCs w:val="21"/>
                <w:lang w:eastAsia="zh-CN"/>
              </w:rPr>
              <w:t>2020</w:t>
            </w:r>
            <w:r>
              <w:rPr>
                <w:rFonts w:hint="eastAsia"/>
                <w:color w:val="000000"/>
                <w:sz w:val="21"/>
                <w:szCs w:val="21"/>
              </w:rPr>
              <w:t>-</w:t>
            </w:r>
            <w:r>
              <w:rPr>
                <w:rFonts w:hint="eastAsia"/>
                <w:color w:val="000000"/>
                <w:sz w:val="21"/>
                <w:szCs w:val="21"/>
                <w:lang w:val="en-US" w:eastAsia="zh-CN"/>
              </w:rPr>
              <w:t>10</w:t>
            </w:r>
            <w:r>
              <w:rPr>
                <w:rFonts w:hint="eastAsia"/>
                <w:color w:val="000000"/>
                <w:sz w:val="21"/>
                <w:szCs w:val="21"/>
              </w:rPr>
              <w:t>-</w:t>
            </w:r>
            <w:r>
              <w:rPr>
                <w:rFonts w:hint="eastAsia"/>
                <w:color w:val="000000"/>
                <w:sz w:val="21"/>
                <w:szCs w:val="21"/>
                <w:lang w:val="en-US" w:eastAsia="zh-CN"/>
              </w:rPr>
              <w:t>15与河南南阳宝座山陵园</w:t>
            </w:r>
            <w:r>
              <w:rPr>
                <w:rFonts w:hint="eastAsia"/>
                <w:color w:val="000000"/>
                <w:sz w:val="21"/>
                <w:szCs w:val="21"/>
              </w:rPr>
              <w:t>签订</w:t>
            </w:r>
            <w:r>
              <w:rPr>
                <w:rFonts w:hint="eastAsia" w:ascii="宋体" w:hAnsi="宋体"/>
                <w:szCs w:val="21"/>
                <w:lang w:eastAsia="zh-CN"/>
              </w:rPr>
              <w:t>石材制品、石雕工艺品、墓碑的销售（法规强制要求范围除外）</w:t>
            </w:r>
            <w:r>
              <w:rPr>
                <w:rFonts w:hint="eastAsia"/>
                <w:color w:val="000000"/>
                <w:sz w:val="21"/>
                <w:szCs w:val="21"/>
                <w:lang w:val="en-US" w:eastAsia="zh-CN"/>
              </w:rPr>
              <w:t>购销合同，1）天福碑，规格220x280x178，石种654，数量5对；2）艺术碑01，规格110x90x125高，石种654，数量20对；3）祥和碑，规格210x250x168，石种633印度黑，数量2块，</w:t>
            </w:r>
            <w:r>
              <w:rPr>
                <w:rFonts w:hint="eastAsia"/>
                <w:color w:val="000000"/>
                <w:sz w:val="21"/>
                <w:szCs w:val="21"/>
              </w:rPr>
              <w:t>交付时间：</w:t>
            </w:r>
            <w:r>
              <w:rPr>
                <w:rFonts w:hint="eastAsia"/>
                <w:color w:val="000000"/>
                <w:sz w:val="21"/>
                <w:szCs w:val="21"/>
                <w:lang w:eastAsia="zh-CN"/>
              </w:rPr>
              <w:t>2020</w:t>
            </w:r>
            <w:r>
              <w:rPr>
                <w:rFonts w:hint="eastAsia"/>
                <w:color w:val="000000"/>
                <w:sz w:val="21"/>
                <w:szCs w:val="21"/>
                <w:lang w:val="en-US" w:eastAsia="zh-CN"/>
              </w:rPr>
              <w:t>.11.5</w:t>
            </w:r>
            <w:r>
              <w:rPr>
                <w:rFonts w:hint="eastAsia"/>
                <w:color w:val="000000"/>
                <w:sz w:val="21"/>
                <w:szCs w:val="21"/>
              </w:rPr>
              <w:t>，合同规定了采购清单、质量检验、交付时间、付款方式、违约责任等条款，要求明确，协议评审时间</w:t>
            </w:r>
            <w:r>
              <w:rPr>
                <w:rFonts w:hint="eastAsia"/>
                <w:color w:val="000000"/>
                <w:sz w:val="21"/>
                <w:szCs w:val="21"/>
                <w:lang w:eastAsia="zh-CN"/>
              </w:rPr>
              <w:t>2020</w:t>
            </w:r>
            <w:r>
              <w:rPr>
                <w:rFonts w:hint="eastAsia"/>
                <w:color w:val="000000"/>
                <w:sz w:val="21"/>
                <w:szCs w:val="21"/>
              </w:rPr>
              <w:t>-</w:t>
            </w:r>
            <w:r>
              <w:rPr>
                <w:rFonts w:hint="eastAsia"/>
                <w:color w:val="000000"/>
                <w:sz w:val="21"/>
                <w:szCs w:val="21"/>
                <w:lang w:val="en-US" w:eastAsia="zh-CN"/>
              </w:rPr>
              <w:t>10</w:t>
            </w:r>
            <w:r>
              <w:rPr>
                <w:rFonts w:hint="eastAsia"/>
                <w:color w:val="000000"/>
                <w:sz w:val="21"/>
                <w:szCs w:val="21"/>
              </w:rPr>
              <w:t>-</w:t>
            </w:r>
            <w:r>
              <w:rPr>
                <w:rFonts w:hint="eastAsia"/>
                <w:color w:val="000000"/>
                <w:sz w:val="21"/>
                <w:szCs w:val="21"/>
                <w:lang w:val="en-US" w:eastAsia="zh-CN"/>
              </w:rPr>
              <w:t>15</w:t>
            </w:r>
            <w:r>
              <w:rPr>
                <w:rFonts w:hint="eastAsia"/>
                <w:color w:val="000000"/>
                <w:sz w:val="21"/>
                <w:szCs w:val="21"/>
              </w:rPr>
              <w:t>，审批</w:t>
            </w:r>
            <w:r>
              <w:rPr>
                <w:rFonts w:hint="eastAsia"/>
                <w:color w:val="000000"/>
                <w:sz w:val="21"/>
                <w:szCs w:val="21"/>
                <w:lang w:eastAsia="zh-CN"/>
              </w:rPr>
              <w:t>陈建阳</w:t>
            </w:r>
            <w:r>
              <w:rPr>
                <w:rFonts w:hint="eastAsia"/>
                <w:color w:val="000000"/>
                <w:sz w:val="21"/>
                <w:szCs w:val="21"/>
              </w:rPr>
              <w:t>。</w:t>
            </w:r>
          </w:p>
          <w:p>
            <w:pPr>
              <w:spacing w:line="280" w:lineRule="exact"/>
              <w:ind w:firstLine="420" w:firstLineChars="200"/>
              <w:rPr>
                <w:rFonts w:hint="eastAsia"/>
                <w:color w:val="000000"/>
                <w:sz w:val="21"/>
                <w:szCs w:val="21"/>
              </w:rPr>
            </w:pPr>
            <w:r>
              <w:rPr>
                <w:rFonts w:hint="eastAsia"/>
                <w:color w:val="000000"/>
                <w:sz w:val="21"/>
                <w:szCs w:val="21"/>
              </w:rPr>
              <w:t>2</w:t>
            </w:r>
            <w:r>
              <w:rPr>
                <w:rFonts w:hint="eastAsia"/>
                <w:color w:val="000000"/>
                <w:sz w:val="21"/>
                <w:szCs w:val="21"/>
                <w:lang w:val="en-US" w:eastAsia="zh-CN"/>
              </w:rPr>
              <w:t>、</w:t>
            </w:r>
            <w:r>
              <w:rPr>
                <w:rFonts w:hint="eastAsia"/>
                <w:color w:val="000000"/>
                <w:sz w:val="21"/>
                <w:szCs w:val="21"/>
                <w:lang w:eastAsia="zh-CN"/>
              </w:rPr>
              <w:t>2020</w:t>
            </w:r>
            <w:r>
              <w:rPr>
                <w:rFonts w:hint="eastAsia"/>
                <w:color w:val="000000"/>
                <w:sz w:val="21"/>
                <w:szCs w:val="21"/>
              </w:rPr>
              <w:t>-</w:t>
            </w:r>
            <w:r>
              <w:rPr>
                <w:rFonts w:hint="eastAsia"/>
                <w:color w:val="000000"/>
                <w:sz w:val="21"/>
                <w:szCs w:val="21"/>
                <w:lang w:val="en-US" w:eastAsia="zh-CN"/>
              </w:rPr>
              <w:t>4</w:t>
            </w:r>
            <w:r>
              <w:rPr>
                <w:rFonts w:hint="eastAsia"/>
                <w:color w:val="000000"/>
                <w:sz w:val="21"/>
                <w:szCs w:val="21"/>
              </w:rPr>
              <w:t>-</w:t>
            </w:r>
            <w:r>
              <w:rPr>
                <w:rFonts w:hint="eastAsia"/>
                <w:color w:val="000000"/>
                <w:sz w:val="21"/>
                <w:szCs w:val="21"/>
                <w:lang w:val="en-US" w:eastAsia="zh-CN"/>
              </w:rPr>
              <w:t>12与河南南阳宝座山陵园</w:t>
            </w:r>
            <w:r>
              <w:rPr>
                <w:rFonts w:hint="eastAsia"/>
                <w:color w:val="000000"/>
                <w:sz w:val="21"/>
                <w:szCs w:val="21"/>
              </w:rPr>
              <w:t>签订</w:t>
            </w:r>
            <w:r>
              <w:rPr>
                <w:rFonts w:hint="eastAsia" w:ascii="宋体" w:hAnsi="宋体"/>
                <w:szCs w:val="21"/>
                <w:lang w:eastAsia="zh-CN"/>
              </w:rPr>
              <w:t>石材制品、石雕工艺品、墓碑的销售（法规强制要求范围除外）</w:t>
            </w:r>
            <w:r>
              <w:rPr>
                <w:rFonts w:hint="eastAsia"/>
                <w:color w:val="000000"/>
                <w:sz w:val="21"/>
                <w:szCs w:val="21"/>
                <w:lang w:val="en-US" w:eastAsia="zh-CN"/>
              </w:rPr>
              <w:t>购销合同，1）艺术碑YDL01，规格110x110x133，石种印度绿654，数量18对；2）艺术碑HJS01，规格110x110x133，石种黑金沙654，数量18对；3）压顶板，规格290x35x5，石种654，数量29块；4）草边盖板，规格45x38x8，石种654，数量18块，</w:t>
            </w:r>
            <w:r>
              <w:rPr>
                <w:rFonts w:hint="eastAsia"/>
                <w:color w:val="000000"/>
                <w:sz w:val="21"/>
                <w:szCs w:val="21"/>
              </w:rPr>
              <w:t>交付时间：</w:t>
            </w:r>
            <w:r>
              <w:rPr>
                <w:rFonts w:hint="eastAsia"/>
                <w:color w:val="000000"/>
                <w:sz w:val="21"/>
                <w:szCs w:val="21"/>
                <w:lang w:eastAsia="zh-CN"/>
              </w:rPr>
              <w:t>2020</w:t>
            </w:r>
            <w:r>
              <w:rPr>
                <w:rFonts w:hint="eastAsia"/>
                <w:color w:val="000000"/>
                <w:sz w:val="21"/>
                <w:szCs w:val="21"/>
                <w:lang w:val="en-US" w:eastAsia="zh-CN"/>
              </w:rPr>
              <w:t>.5.20</w:t>
            </w:r>
            <w:r>
              <w:rPr>
                <w:rFonts w:hint="eastAsia"/>
                <w:color w:val="000000"/>
                <w:sz w:val="21"/>
                <w:szCs w:val="21"/>
              </w:rPr>
              <w:t>，合同规定了采购清单、质量检验、交付时间、付款方式、违约责任等条款，要求明确，协议评审时间</w:t>
            </w:r>
            <w:r>
              <w:rPr>
                <w:rFonts w:hint="eastAsia"/>
                <w:color w:val="000000"/>
                <w:sz w:val="21"/>
                <w:szCs w:val="21"/>
                <w:lang w:eastAsia="zh-CN"/>
              </w:rPr>
              <w:t>2020</w:t>
            </w:r>
            <w:r>
              <w:rPr>
                <w:rFonts w:hint="eastAsia"/>
                <w:color w:val="000000"/>
                <w:sz w:val="21"/>
                <w:szCs w:val="21"/>
              </w:rPr>
              <w:t>-</w:t>
            </w:r>
            <w:r>
              <w:rPr>
                <w:rFonts w:hint="eastAsia"/>
                <w:color w:val="000000"/>
                <w:sz w:val="21"/>
                <w:szCs w:val="21"/>
                <w:lang w:val="en-US" w:eastAsia="zh-CN"/>
              </w:rPr>
              <w:t>4-12</w:t>
            </w:r>
            <w:r>
              <w:rPr>
                <w:rFonts w:hint="eastAsia"/>
                <w:color w:val="000000"/>
                <w:sz w:val="21"/>
                <w:szCs w:val="21"/>
              </w:rPr>
              <w:t>，审批</w:t>
            </w:r>
            <w:r>
              <w:rPr>
                <w:rFonts w:hint="eastAsia"/>
                <w:color w:val="000000"/>
                <w:sz w:val="21"/>
                <w:szCs w:val="21"/>
                <w:lang w:eastAsia="zh-CN"/>
              </w:rPr>
              <w:t>陈建阳</w:t>
            </w:r>
            <w:r>
              <w:rPr>
                <w:rFonts w:hint="eastAsia"/>
                <w:color w:val="000000"/>
                <w:sz w:val="21"/>
                <w:szCs w:val="21"/>
              </w:rPr>
              <w:t>。</w:t>
            </w:r>
          </w:p>
          <w:p>
            <w:pPr>
              <w:spacing w:line="280" w:lineRule="exact"/>
              <w:ind w:firstLine="420" w:firstLineChars="200"/>
              <w:rPr>
                <w:rFonts w:hint="eastAsia"/>
                <w:color w:val="000000"/>
                <w:sz w:val="21"/>
                <w:szCs w:val="21"/>
                <w:lang w:val="en-US" w:eastAsia="zh-CN"/>
              </w:rPr>
            </w:pPr>
            <w:r>
              <w:rPr>
                <w:rFonts w:hint="eastAsia"/>
                <w:color w:val="000000"/>
                <w:sz w:val="21"/>
                <w:szCs w:val="21"/>
                <w:lang w:val="en-US" w:eastAsia="zh-CN"/>
              </w:rPr>
              <w:t>3、2020-9-1与成都市峰和石材有限公司签订购销合同，1）FH-400，规格100x70x134，石种黑棕/山西黑，数量80对；1）FH-401，规格100x70x134，新654/山西黑，数量100个，交付时间：2020.10.1，合同规定了采购清单、质量检验、交付时间、付款方式、违约责任等条款，要求明确，协议评审时间2020-9-1，审批陈建阳。</w:t>
            </w:r>
          </w:p>
          <w:p>
            <w:pPr>
              <w:spacing w:line="280" w:lineRule="exact"/>
              <w:ind w:firstLine="420" w:firstLineChars="200"/>
              <w:rPr>
                <w:color w:val="000000"/>
                <w:sz w:val="21"/>
                <w:szCs w:val="21"/>
              </w:rPr>
            </w:pPr>
            <w:r>
              <w:rPr>
                <w:rFonts w:hint="eastAsia"/>
                <w:color w:val="000000"/>
                <w:sz w:val="21"/>
                <w:szCs w:val="21"/>
              </w:rPr>
              <w:t>与顾客的沟通由</w:t>
            </w:r>
            <w:r>
              <w:rPr>
                <w:rFonts w:hint="eastAsia"/>
                <w:color w:val="000000"/>
                <w:sz w:val="21"/>
                <w:szCs w:val="21"/>
                <w:lang w:eastAsia="zh-CN"/>
              </w:rPr>
              <w:t>业务部</w:t>
            </w:r>
            <w:r>
              <w:rPr>
                <w:rFonts w:hint="eastAsia"/>
                <w:color w:val="000000"/>
                <w:sz w:val="21"/>
                <w:szCs w:val="21"/>
              </w:rPr>
              <w:t>负责，方法：通过手机、传真、微信等直接与固定客户保持日常联系，其内容包括：特殊要求、价格、后续服务等。</w:t>
            </w:r>
          </w:p>
          <w:p>
            <w:pPr>
              <w:spacing w:line="280" w:lineRule="exact"/>
              <w:ind w:firstLine="421" w:firstLineChars="0"/>
              <w:rPr>
                <w:rFonts w:hint="eastAsia" w:ascii="宋体" w:hAnsi="宋体" w:eastAsia="宋体" w:cs="宋体"/>
                <w:sz w:val="24"/>
                <w:szCs w:val="24"/>
                <w:lang w:val="en-US" w:eastAsia="zh-CN"/>
              </w:rPr>
            </w:pPr>
            <w:r>
              <w:rPr>
                <w:rFonts w:hint="eastAsia"/>
                <w:color w:val="000000"/>
                <w:sz w:val="21"/>
                <w:szCs w:val="21"/>
              </w:rPr>
              <w:t>公司暂无合同变更情况发生。</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707" w:type="dxa"/>
            <w:vAlign w:val="center"/>
          </w:tcPr>
          <w:p>
            <w:pPr>
              <w:spacing w:line="280" w:lineRule="exact"/>
              <w:rPr>
                <w:rFonts w:hint="eastAsia"/>
                <w:color w:val="000000"/>
                <w:sz w:val="21"/>
                <w:szCs w:val="21"/>
                <w:lang w:eastAsia="zh-CN"/>
              </w:rPr>
            </w:pPr>
            <w:r>
              <w:rPr>
                <w:rFonts w:hint="eastAsia"/>
                <w:color w:val="000000"/>
                <w:sz w:val="21"/>
                <w:szCs w:val="21"/>
                <w:lang w:eastAsia="zh-CN"/>
              </w:rPr>
              <w:t>产品和服务的设计和开发不适用确认</w:t>
            </w:r>
          </w:p>
        </w:tc>
        <w:tc>
          <w:tcPr>
            <w:tcW w:w="1019" w:type="dxa"/>
            <w:vAlign w:val="center"/>
          </w:tcPr>
          <w:p>
            <w:pPr>
              <w:spacing w:line="360" w:lineRule="auto"/>
              <w:rPr>
                <w:rFonts w:hint="eastAsia" w:ascii="宋体" w:hAnsi="宋体" w:eastAsia="宋体" w:cs="宋体"/>
                <w:sz w:val="24"/>
                <w:szCs w:val="24"/>
              </w:rPr>
            </w:pPr>
            <w:r>
              <w:rPr>
                <w:rFonts w:hint="eastAsia" w:ascii="楷体" w:hAnsi="楷体" w:eastAsia="楷体" w:cs="Arial"/>
                <w:szCs w:val="24"/>
              </w:rPr>
              <w:t>Q8.3</w:t>
            </w:r>
            <w:r>
              <w:rPr>
                <w:rFonts w:hint="eastAsia" w:ascii="楷体" w:hAnsi="楷体" w:eastAsia="楷体" w:cs="楷体"/>
                <w:szCs w:val="24"/>
              </w:rPr>
              <w:t xml:space="preserve"> </w:t>
            </w:r>
          </w:p>
        </w:tc>
        <w:tc>
          <w:tcPr>
            <w:tcW w:w="11223" w:type="dxa"/>
            <w:vAlign w:val="center"/>
          </w:tcPr>
          <w:p>
            <w:pPr>
              <w:spacing w:line="280" w:lineRule="exact"/>
              <w:ind w:firstLine="420" w:firstLineChars="200"/>
              <w:rPr>
                <w:rFonts w:hint="eastAsia"/>
                <w:color w:val="000000"/>
                <w:sz w:val="21"/>
                <w:szCs w:val="21"/>
                <w:lang w:eastAsia="zh-CN"/>
              </w:rPr>
            </w:pPr>
            <w:r>
              <w:rPr>
                <w:rFonts w:hint="eastAsia"/>
                <w:color w:val="000000"/>
                <w:sz w:val="21"/>
                <w:szCs w:val="21"/>
                <w:lang w:eastAsia="zh-CN"/>
              </w:rPr>
              <w:t>公司只负责按常规销售模式进行石材制品、石雕工艺品、墓碑的销售（法规强制要求范围除外）(沉香丝)销售，不需要再设计开发，因此将IOO9001：2015标准“8.3产品和服务的设计和开发”的要求确认为不适用，该不适用不影响组织确保产品和服务合格以及增强顾客满意的能力或责任。</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707" w:type="dxa"/>
            <w:vAlign w:val="top"/>
          </w:tcPr>
          <w:p>
            <w:pPr>
              <w:spacing w:line="280" w:lineRule="exact"/>
              <w:rPr>
                <w:rFonts w:hint="eastAsia" w:ascii="宋体" w:hAnsi="宋体" w:cs="宋体"/>
                <w:color w:val="000000"/>
                <w:kern w:val="0"/>
                <w:sz w:val="21"/>
                <w:szCs w:val="21"/>
              </w:rPr>
            </w:pPr>
            <w:r>
              <w:rPr>
                <w:rFonts w:hint="eastAsia" w:ascii="宋体" w:hAnsi="宋体" w:cs="宋体"/>
                <w:color w:val="000000"/>
                <w:kern w:val="0"/>
                <w:sz w:val="21"/>
                <w:szCs w:val="21"/>
              </w:rPr>
              <w:t>外部提供过程、服务和服务的控制</w:t>
            </w:r>
          </w:p>
          <w:p>
            <w:pPr>
              <w:spacing w:line="280" w:lineRule="exact"/>
              <w:rPr>
                <w:rFonts w:hint="eastAsia"/>
                <w:color w:val="000000"/>
                <w:sz w:val="21"/>
                <w:szCs w:val="21"/>
                <w:lang w:eastAsia="zh-CN"/>
              </w:rPr>
            </w:pPr>
          </w:p>
        </w:tc>
        <w:tc>
          <w:tcPr>
            <w:tcW w:w="1019" w:type="dxa"/>
            <w:vAlign w:val="top"/>
          </w:tcPr>
          <w:p>
            <w:pPr>
              <w:spacing w:line="280" w:lineRule="exact"/>
              <w:rPr>
                <w:rFonts w:hint="eastAsia" w:ascii="宋体" w:hAnsi="宋体" w:cs="宋体"/>
                <w:color w:val="000000"/>
                <w:kern w:val="0"/>
                <w:sz w:val="21"/>
                <w:szCs w:val="21"/>
              </w:rPr>
            </w:pPr>
            <w:r>
              <w:rPr>
                <w:rFonts w:hint="eastAsia" w:ascii="宋体" w:hAnsi="宋体" w:cs="宋体"/>
                <w:color w:val="000000"/>
                <w:sz w:val="21"/>
                <w:szCs w:val="21"/>
              </w:rPr>
              <w:t>Q</w:t>
            </w:r>
            <w:r>
              <w:rPr>
                <w:rFonts w:hint="eastAsia" w:ascii="宋体" w:hAnsi="宋体" w:cs="宋体"/>
                <w:color w:val="000000"/>
                <w:kern w:val="0"/>
                <w:sz w:val="21"/>
                <w:szCs w:val="21"/>
              </w:rPr>
              <w:t>8.4</w:t>
            </w:r>
          </w:p>
          <w:p>
            <w:pPr>
              <w:spacing w:line="280" w:lineRule="exact"/>
              <w:rPr>
                <w:rFonts w:hint="eastAsia" w:ascii="楷体" w:hAnsi="楷体" w:eastAsia="楷体" w:cs="Arial"/>
                <w:szCs w:val="24"/>
              </w:rPr>
            </w:pPr>
          </w:p>
        </w:tc>
        <w:tc>
          <w:tcPr>
            <w:tcW w:w="11223" w:type="dxa"/>
            <w:vAlign w:val="center"/>
          </w:tcPr>
          <w:p>
            <w:pPr>
              <w:spacing w:line="28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公司</w:t>
            </w:r>
            <w:r>
              <w:rPr>
                <w:rFonts w:hint="eastAsia" w:ascii="宋体" w:hAnsi="宋体" w:cs="宋体"/>
                <w:color w:val="000000"/>
                <w:sz w:val="21"/>
                <w:szCs w:val="21"/>
                <w:lang w:eastAsia="zh-CN"/>
              </w:rPr>
              <w:t>生产</w:t>
            </w:r>
            <w:r>
              <w:rPr>
                <w:rFonts w:hint="eastAsia" w:ascii="宋体" w:hAnsi="宋体" w:cs="宋体"/>
                <w:color w:val="000000"/>
                <w:sz w:val="21"/>
                <w:szCs w:val="21"/>
              </w:rPr>
              <w:t>采购产品主要为</w:t>
            </w:r>
            <w:r>
              <w:rPr>
                <w:rFonts w:hint="eastAsia" w:ascii="宋体" w:hAnsi="宋体"/>
                <w:szCs w:val="21"/>
                <w:lang w:eastAsia="zh-CN"/>
              </w:rPr>
              <w:t>石材制品、石雕工艺品、墓碑</w:t>
            </w:r>
            <w:r>
              <w:rPr>
                <w:rFonts w:hint="eastAsia" w:ascii="宋体" w:hAnsi="宋体" w:cs="宋体"/>
                <w:sz w:val="21"/>
                <w:szCs w:val="21"/>
                <w:lang w:val="en-US" w:eastAsia="zh-CN"/>
              </w:rPr>
              <w:t>等</w:t>
            </w:r>
            <w:r>
              <w:rPr>
                <w:rFonts w:hint="eastAsia" w:ascii="宋体" w:hAnsi="宋体" w:cs="宋体"/>
                <w:color w:val="000000"/>
                <w:sz w:val="21"/>
                <w:szCs w:val="21"/>
              </w:rPr>
              <w:t>。</w:t>
            </w:r>
          </w:p>
          <w:p>
            <w:pPr>
              <w:spacing w:line="28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已编制形成《合格供方名录》：抽查</w:t>
            </w:r>
          </w:p>
          <w:p>
            <w:pPr>
              <w:spacing w:line="280" w:lineRule="exact"/>
              <w:ind w:firstLine="420" w:firstLineChars="200"/>
              <w:rPr>
                <w:rFonts w:hint="eastAsia" w:ascii="宋体" w:hAnsi="宋体" w:cs="宋体"/>
                <w:color w:val="000000"/>
                <w:sz w:val="21"/>
                <w:szCs w:val="21"/>
              </w:rPr>
            </w:pPr>
            <w:r>
              <w:rPr>
                <w:rFonts w:hint="eastAsia" w:ascii="宋体" w:hAnsi="宋体"/>
                <w:szCs w:val="21"/>
                <w:lang w:val="en-US" w:eastAsia="zh-CN"/>
              </w:rPr>
              <w:t>石材制品</w:t>
            </w:r>
            <w:r>
              <w:rPr>
                <w:rFonts w:hint="eastAsia" w:ascii="宋体" w:hAnsi="宋体" w:cs="宋体"/>
                <w:color w:val="000000"/>
                <w:sz w:val="21"/>
                <w:szCs w:val="21"/>
              </w:rPr>
              <w:t>----</w:t>
            </w:r>
            <w:r>
              <w:rPr>
                <w:rFonts w:hint="eastAsia" w:ascii="宋体" w:hAnsi="宋体" w:cs="宋体"/>
                <w:color w:val="000000"/>
                <w:sz w:val="21"/>
                <w:szCs w:val="21"/>
                <w:lang w:val="en-US" w:eastAsia="zh-CN"/>
              </w:rPr>
              <w:t>福建汉石通石业发展有限公司</w:t>
            </w:r>
            <w:r>
              <w:rPr>
                <w:rFonts w:hint="eastAsia" w:ascii="宋体" w:hAnsi="宋体" w:cs="宋体"/>
                <w:color w:val="000000"/>
                <w:sz w:val="21"/>
                <w:szCs w:val="21"/>
              </w:rPr>
              <w:t>：</w:t>
            </w:r>
            <w:r>
              <w:rPr>
                <w:rFonts w:hint="eastAsia" w:ascii="宋体" w:hAnsi="宋体" w:cs="宋体"/>
                <w:color w:val="000000"/>
                <w:sz w:val="21"/>
                <w:szCs w:val="21"/>
                <w:lang w:eastAsia="zh-CN"/>
              </w:rPr>
              <w:t>2020年</w:t>
            </w:r>
            <w:r>
              <w:rPr>
                <w:rFonts w:hint="eastAsia" w:ascii="宋体" w:hAnsi="宋体" w:cs="宋体"/>
                <w:color w:val="000000"/>
                <w:sz w:val="21"/>
                <w:szCs w:val="21"/>
                <w:lang w:val="en-US" w:eastAsia="zh-CN"/>
              </w:rPr>
              <w:t>3</w:t>
            </w:r>
            <w:r>
              <w:rPr>
                <w:rFonts w:hint="eastAsia" w:ascii="宋体" w:hAnsi="宋体" w:cs="宋体"/>
                <w:color w:val="000000"/>
                <w:sz w:val="21"/>
                <w:szCs w:val="21"/>
                <w:lang w:eastAsia="zh-CN"/>
              </w:rPr>
              <w:t>月</w:t>
            </w:r>
            <w:r>
              <w:rPr>
                <w:rFonts w:hint="eastAsia" w:ascii="宋体" w:hAnsi="宋体" w:cs="宋体"/>
                <w:color w:val="000000"/>
                <w:sz w:val="21"/>
                <w:szCs w:val="21"/>
              </w:rPr>
              <w:t>进行供方的评价，形成《合格供方评定记录表》一份，对产品质量、价格、信誉等内容进行评定。结论为：同意列入合格供方。批准人：</w:t>
            </w:r>
            <w:r>
              <w:rPr>
                <w:rFonts w:hint="eastAsia" w:ascii="宋体" w:hAnsi="宋体" w:cs="宋体"/>
                <w:color w:val="000000"/>
                <w:sz w:val="21"/>
                <w:szCs w:val="21"/>
                <w:lang w:eastAsia="zh-CN"/>
              </w:rPr>
              <w:t>陈建阳</w:t>
            </w:r>
            <w:r>
              <w:rPr>
                <w:rFonts w:hint="eastAsia" w:ascii="宋体" w:hAnsi="宋体" w:cs="宋体"/>
                <w:color w:val="000000"/>
                <w:sz w:val="21"/>
                <w:szCs w:val="21"/>
              </w:rPr>
              <w:t>。</w:t>
            </w:r>
          </w:p>
          <w:p>
            <w:pPr>
              <w:spacing w:line="280" w:lineRule="exact"/>
              <w:ind w:firstLine="420" w:firstLineChars="200"/>
              <w:rPr>
                <w:rFonts w:hint="eastAsia" w:ascii="宋体" w:hAnsi="宋体" w:cs="宋体"/>
                <w:color w:val="000000"/>
                <w:sz w:val="21"/>
                <w:szCs w:val="21"/>
              </w:rPr>
            </w:pPr>
            <w:r>
              <w:rPr>
                <w:rFonts w:hint="eastAsia" w:ascii="宋体" w:hAnsi="宋体"/>
                <w:szCs w:val="21"/>
                <w:lang w:val="en-US" w:eastAsia="zh-CN"/>
              </w:rPr>
              <w:t>石材制品</w:t>
            </w:r>
            <w:r>
              <w:rPr>
                <w:rFonts w:hint="eastAsia" w:ascii="宋体" w:hAnsi="宋体" w:cs="宋体"/>
                <w:color w:val="000000"/>
                <w:sz w:val="21"/>
                <w:szCs w:val="21"/>
              </w:rPr>
              <w:t>----</w:t>
            </w:r>
            <w:r>
              <w:rPr>
                <w:rFonts w:hint="eastAsia" w:ascii="宋体" w:hAnsi="宋体" w:cs="宋体"/>
                <w:color w:val="000000"/>
                <w:sz w:val="21"/>
                <w:szCs w:val="21"/>
                <w:lang w:val="en-US" w:eastAsia="zh-CN"/>
              </w:rPr>
              <w:t>厦门励益进出口有限公司</w:t>
            </w:r>
            <w:r>
              <w:rPr>
                <w:rFonts w:hint="eastAsia" w:ascii="宋体" w:hAnsi="宋体" w:cs="宋体"/>
                <w:color w:val="000000"/>
                <w:sz w:val="21"/>
                <w:szCs w:val="21"/>
              </w:rPr>
              <w:t>：</w:t>
            </w:r>
            <w:r>
              <w:rPr>
                <w:rFonts w:hint="eastAsia" w:ascii="宋体" w:hAnsi="宋体" w:cs="宋体"/>
                <w:color w:val="000000"/>
                <w:sz w:val="21"/>
                <w:szCs w:val="21"/>
                <w:lang w:eastAsia="zh-CN"/>
              </w:rPr>
              <w:t>2020年</w:t>
            </w:r>
            <w:r>
              <w:rPr>
                <w:rFonts w:hint="eastAsia" w:ascii="宋体" w:hAnsi="宋体" w:cs="宋体"/>
                <w:color w:val="000000"/>
                <w:sz w:val="21"/>
                <w:szCs w:val="21"/>
                <w:lang w:val="en-US" w:eastAsia="zh-CN"/>
              </w:rPr>
              <w:t>3</w:t>
            </w:r>
            <w:r>
              <w:rPr>
                <w:rFonts w:hint="eastAsia" w:ascii="宋体" w:hAnsi="宋体" w:cs="宋体"/>
                <w:color w:val="000000"/>
                <w:sz w:val="21"/>
                <w:szCs w:val="21"/>
                <w:lang w:eastAsia="zh-CN"/>
              </w:rPr>
              <w:t>月</w:t>
            </w:r>
            <w:r>
              <w:rPr>
                <w:rFonts w:hint="eastAsia" w:ascii="宋体" w:hAnsi="宋体" w:cs="宋体"/>
                <w:color w:val="000000"/>
                <w:sz w:val="21"/>
                <w:szCs w:val="21"/>
              </w:rPr>
              <w:t>进行供方的评价，形成《合格供方评定记录表》一份，对产品质量、价格、信誉等内容进行评定。结论为：同意列入合格供方。批准人：</w:t>
            </w:r>
            <w:r>
              <w:rPr>
                <w:rFonts w:hint="eastAsia" w:ascii="宋体" w:hAnsi="宋体" w:cs="宋体"/>
                <w:color w:val="000000"/>
                <w:sz w:val="21"/>
                <w:szCs w:val="21"/>
                <w:lang w:eastAsia="zh-CN"/>
              </w:rPr>
              <w:t>陈建阳</w:t>
            </w:r>
            <w:r>
              <w:rPr>
                <w:rFonts w:hint="eastAsia" w:ascii="宋体" w:hAnsi="宋体" w:cs="宋体"/>
                <w:color w:val="000000"/>
                <w:sz w:val="21"/>
                <w:szCs w:val="21"/>
              </w:rPr>
              <w:t>。</w:t>
            </w:r>
          </w:p>
          <w:p>
            <w:pPr>
              <w:spacing w:line="280" w:lineRule="exact"/>
              <w:ind w:firstLine="420" w:firstLineChars="200"/>
              <w:rPr>
                <w:rFonts w:hint="eastAsia" w:ascii="宋体" w:hAnsi="宋体" w:cs="宋体"/>
                <w:color w:val="000000"/>
                <w:sz w:val="21"/>
                <w:szCs w:val="21"/>
              </w:rPr>
            </w:pPr>
            <w:r>
              <w:rPr>
                <w:rFonts w:hint="eastAsia" w:ascii="宋体" w:hAnsi="宋体"/>
                <w:szCs w:val="21"/>
                <w:lang w:val="en-US" w:eastAsia="zh-CN"/>
              </w:rPr>
              <w:t>石材制品、</w:t>
            </w:r>
            <w:r>
              <w:rPr>
                <w:rFonts w:hint="eastAsia" w:ascii="宋体" w:hAnsi="宋体"/>
                <w:szCs w:val="21"/>
                <w:lang w:eastAsia="zh-CN"/>
              </w:rPr>
              <w:t>石雕工艺品</w:t>
            </w:r>
            <w:r>
              <w:rPr>
                <w:rFonts w:hint="eastAsia" w:ascii="宋体" w:hAnsi="宋体" w:cs="宋体"/>
                <w:color w:val="000000"/>
                <w:sz w:val="21"/>
                <w:szCs w:val="21"/>
              </w:rPr>
              <w:t>供方----</w:t>
            </w:r>
            <w:r>
              <w:rPr>
                <w:rFonts w:hint="eastAsia" w:ascii="宋体" w:hAnsi="宋体" w:cs="宋体"/>
                <w:color w:val="000000"/>
                <w:sz w:val="21"/>
                <w:szCs w:val="21"/>
                <w:lang w:val="en-US" w:eastAsia="zh-CN"/>
              </w:rPr>
              <w:t>泉州惠安县华新进出口有限公司</w:t>
            </w:r>
            <w:r>
              <w:rPr>
                <w:rFonts w:hint="eastAsia" w:ascii="宋体" w:hAnsi="宋体" w:cs="宋体"/>
                <w:color w:val="000000"/>
                <w:sz w:val="21"/>
                <w:szCs w:val="21"/>
              </w:rPr>
              <w:t>：</w:t>
            </w:r>
            <w:r>
              <w:rPr>
                <w:rFonts w:hint="eastAsia" w:ascii="宋体" w:hAnsi="宋体" w:cs="宋体"/>
                <w:color w:val="000000"/>
                <w:sz w:val="21"/>
                <w:szCs w:val="21"/>
                <w:lang w:eastAsia="zh-CN"/>
              </w:rPr>
              <w:t>2020年</w:t>
            </w:r>
            <w:r>
              <w:rPr>
                <w:rFonts w:hint="eastAsia" w:ascii="宋体" w:hAnsi="宋体" w:cs="宋体"/>
                <w:color w:val="000000"/>
                <w:sz w:val="21"/>
                <w:szCs w:val="21"/>
                <w:lang w:val="en-US" w:eastAsia="zh-CN"/>
              </w:rPr>
              <w:t>3</w:t>
            </w:r>
            <w:r>
              <w:rPr>
                <w:rFonts w:hint="eastAsia" w:ascii="宋体" w:hAnsi="宋体" w:cs="宋体"/>
                <w:color w:val="000000"/>
                <w:sz w:val="21"/>
                <w:szCs w:val="21"/>
                <w:lang w:eastAsia="zh-CN"/>
              </w:rPr>
              <w:t>月</w:t>
            </w:r>
            <w:r>
              <w:rPr>
                <w:rFonts w:hint="eastAsia" w:ascii="宋体" w:hAnsi="宋体" w:cs="宋体"/>
                <w:color w:val="000000"/>
                <w:sz w:val="21"/>
                <w:szCs w:val="21"/>
              </w:rPr>
              <w:t>进行供方的评价，形成《合格供方评定记录表》一份，对产品质量、价格、信誉等内容进行评定。结论为：同意列入合格供方。批准人：</w:t>
            </w:r>
            <w:r>
              <w:rPr>
                <w:rFonts w:hint="eastAsia" w:ascii="宋体" w:hAnsi="宋体" w:cs="宋体"/>
                <w:color w:val="000000"/>
                <w:sz w:val="21"/>
                <w:szCs w:val="21"/>
                <w:lang w:eastAsia="zh-CN"/>
              </w:rPr>
              <w:t>陈建阳</w:t>
            </w:r>
            <w:r>
              <w:rPr>
                <w:rFonts w:hint="eastAsia" w:ascii="宋体" w:hAnsi="宋体" w:cs="宋体"/>
                <w:color w:val="000000"/>
                <w:sz w:val="21"/>
                <w:szCs w:val="21"/>
              </w:rPr>
              <w:t>。</w:t>
            </w:r>
          </w:p>
          <w:p>
            <w:pPr>
              <w:spacing w:line="280" w:lineRule="exact"/>
              <w:ind w:firstLine="420" w:firstLineChars="200"/>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外包方运输----南安市水头镇锦利物流服务部</w:t>
            </w:r>
            <w:r>
              <w:rPr>
                <w:rFonts w:hint="eastAsia" w:ascii="宋体" w:hAnsi="宋体" w:cs="宋体"/>
                <w:color w:val="auto"/>
                <w:sz w:val="21"/>
                <w:szCs w:val="21"/>
              </w:rPr>
              <w:t>：</w:t>
            </w:r>
            <w:r>
              <w:rPr>
                <w:rFonts w:hint="eastAsia" w:ascii="宋体" w:hAnsi="宋体" w:cs="宋体"/>
                <w:color w:val="auto"/>
                <w:sz w:val="21"/>
                <w:szCs w:val="21"/>
                <w:lang w:eastAsia="zh-CN"/>
              </w:rPr>
              <w:t>2020年</w:t>
            </w:r>
            <w:r>
              <w:rPr>
                <w:rFonts w:hint="eastAsia" w:ascii="宋体" w:hAnsi="宋体" w:cs="宋体"/>
                <w:color w:val="auto"/>
                <w:sz w:val="21"/>
                <w:szCs w:val="21"/>
                <w:lang w:val="en-US" w:eastAsia="zh-CN"/>
              </w:rPr>
              <w:t>3</w:t>
            </w:r>
            <w:r>
              <w:rPr>
                <w:rFonts w:hint="eastAsia" w:ascii="宋体" w:hAnsi="宋体" w:cs="宋体"/>
                <w:color w:val="auto"/>
                <w:sz w:val="21"/>
                <w:szCs w:val="21"/>
                <w:lang w:eastAsia="zh-CN"/>
              </w:rPr>
              <w:t>月</w:t>
            </w:r>
            <w:r>
              <w:rPr>
                <w:rFonts w:hint="eastAsia" w:ascii="宋体" w:hAnsi="宋体" w:cs="宋体"/>
                <w:color w:val="auto"/>
                <w:sz w:val="21"/>
                <w:szCs w:val="21"/>
              </w:rPr>
              <w:t>进行供方的评价，形成《合格供方评定记录表》一份，对产品质量、价格、信誉等内容进行评定。结论为：同意列入合格供方。批准人：</w:t>
            </w:r>
            <w:r>
              <w:rPr>
                <w:rFonts w:hint="eastAsia" w:ascii="宋体" w:hAnsi="宋体" w:cs="宋体"/>
                <w:color w:val="auto"/>
                <w:sz w:val="21"/>
                <w:szCs w:val="21"/>
                <w:lang w:eastAsia="zh-CN"/>
              </w:rPr>
              <w:t>陈建阳</w:t>
            </w:r>
            <w:r>
              <w:rPr>
                <w:rFonts w:hint="eastAsia" w:ascii="宋体" w:hAnsi="宋体" w:cs="宋体"/>
                <w:color w:val="auto"/>
                <w:sz w:val="21"/>
                <w:szCs w:val="21"/>
              </w:rPr>
              <w:t>。</w:t>
            </w:r>
          </w:p>
          <w:p>
            <w:pPr>
              <w:spacing w:line="28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公司以采购计划单的形式向供方及相关人员发送采购信息，该单由</w:t>
            </w:r>
            <w:r>
              <w:rPr>
                <w:rFonts w:hint="eastAsia" w:ascii="宋体" w:hAnsi="宋体" w:cs="宋体"/>
                <w:color w:val="000000"/>
                <w:sz w:val="21"/>
                <w:szCs w:val="21"/>
                <w:lang w:eastAsia="zh-CN"/>
              </w:rPr>
              <w:t>陈建阳</w:t>
            </w:r>
            <w:r>
              <w:rPr>
                <w:rFonts w:hint="eastAsia" w:ascii="宋体" w:hAnsi="宋体" w:cs="宋体"/>
                <w:color w:val="000000"/>
                <w:sz w:val="21"/>
                <w:szCs w:val="21"/>
              </w:rPr>
              <w:t>批准后实施采购。查</w:t>
            </w:r>
            <w:r>
              <w:rPr>
                <w:rFonts w:hint="eastAsia" w:ascii="宋体" w:hAnsi="宋体" w:cs="宋体"/>
                <w:color w:val="000000"/>
                <w:sz w:val="21"/>
                <w:szCs w:val="21"/>
                <w:lang w:eastAsia="zh-CN"/>
              </w:rPr>
              <w:t>2020年8月</w:t>
            </w:r>
            <w:r>
              <w:rPr>
                <w:rFonts w:hint="eastAsia" w:ascii="宋体" w:hAnsi="宋体" w:cs="宋体"/>
                <w:color w:val="000000"/>
                <w:sz w:val="21"/>
                <w:szCs w:val="21"/>
              </w:rPr>
              <w:t>以来采购计划单，该单包括：供方、物资名称、规格型号、数量、金额、质量要求</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到货时间</w:t>
            </w:r>
            <w:r>
              <w:rPr>
                <w:rFonts w:hint="eastAsia" w:ascii="宋体" w:hAnsi="宋体" w:cs="宋体"/>
                <w:color w:val="000000"/>
                <w:sz w:val="21"/>
                <w:szCs w:val="21"/>
              </w:rPr>
              <w:t>等。</w:t>
            </w:r>
          </w:p>
          <w:p>
            <w:pPr>
              <w:spacing w:line="28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抽查</w:t>
            </w:r>
            <w:r>
              <w:rPr>
                <w:rFonts w:hint="eastAsia" w:ascii="宋体" w:hAnsi="宋体" w:cs="宋体"/>
                <w:color w:val="000000"/>
                <w:sz w:val="21"/>
                <w:szCs w:val="21"/>
                <w:lang w:eastAsia="zh-CN"/>
              </w:rPr>
              <w:t>2020</w:t>
            </w:r>
            <w:r>
              <w:rPr>
                <w:rFonts w:hint="eastAsia" w:ascii="宋体" w:hAnsi="宋体" w:cs="宋体"/>
                <w:color w:val="000000"/>
                <w:sz w:val="21"/>
                <w:szCs w:val="21"/>
              </w:rPr>
              <w:t>-</w:t>
            </w:r>
            <w:r>
              <w:rPr>
                <w:rFonts w:hint="eastAsia" w:ascii="宋体" w:hAnsi="宋体" w:cs="宋体"/>
                <w:color w:val="000000"/>
                <w:sz w:val="21"/>
                <w:szCs w:val="21"/>
                <w:lang w:val="en-US" w:eastAsia="zh-CN"/>
              </w:rPr>
              <w:t>11-6汉石通荒料出库单：</w:t>
            </w:r>
            <w:r>
              <w:rPr>
                <w:rFonts w:hint="eastAsia" w:ascii="宋体" w:hAnsi="宋体" w:cs="宋体"/>
                <w:color w:val="000000"/>
                <w:sz w:val="21"/>
                <w:szCs w:val="21"/>
              </w:rPr>
              <w:t>采购</w:t>
            </w:r>
            <w:r>
              <w:rPr>
                <w:rFonts w:hint="eastAsia" w:ascii="宋体" w:hAnsi="宋体" w:cs="宋体"/>
                <w:color w:val="000000"/>
                <w:sz w:val="21"/>
                <w:szCs w:val="21"/>
                <w:lang w:val="en-US" w:eastAsia="zh-CN"/>
              </w:rPr>
              <w:t>安哥拉黑M911745，规格</w:t>
            </w:r>
            <w:r>
              <w:rPr>
                <w:rFonts w:hint="eastAsia"/>
                <w:color w:val="000000"/>
                <w:sz w:val="21"/>
                <w:szCs w:val="21"/>
                <w:lang w:val="en-US" w:eastAsia="zh-CN"/>
              </w:rPr>
              <w:t>292x122x188</w:t>
            </w:r>
            <w:r>
              <w:rPr>
                <w:rFonts w:hint="eastAsia" w:ascii="宋体" w:hAnsi="宋体" w:cs="宋体"/>
                <w:color w:val="000000"/>
                <w:sz w:val="21"/>
                <w:szCs w:val="21"/>
                <w:lang w:val="en-US" w:eastAsia="zh-CN"/>
              </w:rPr>
              <w:t>基础石材6.697方；</w:t>
            </w:r>
            <w:r>
              <w:rPr>
                <w:rFonts w:hint="eastAsia" w:ascii="宋体" w:hAnsi="宋体" w:cs="宋体"/>
                <w:color w:val="000000"/>
                <w:sz w:val="21"/>
                <w:szCs w:val="21"/>
                <w:lang w:eastAsia="zh-CN"/>
              </w:rPr>
              <w:t>2020</w:t>
            </w:r>
            <w:r>
              <w:rPr>
                <w:rFonts w:hint="eastAsia" w:ascii="宋体" w:hAnsi="宋体" w:cs="宋体"/>
                <w:color w:val="000000"/>
                <w:sz w:val="21"/>
                <w:szCs w:val="21"/>
              </w:rPr>
              <w:t>-</w:t>
            </w:r>
            <w:r>
              <w:rPr>
                <w:rFonts w:hint="eastAsia" w:ascii="宋体" w:hAnsi="宋体" w:cs="宋体"/>
                <w:color w:val="000000"/>
                <w:sz w:val="21"/>
                <w:szCs w:val="21"/>
                <w:lang w:val="en-US" w:eastAsia="zh-CN"/>
              </w:rPr>
              <w:t>8-11</w:t>
            </w:r>
            <w:r>
              <w:rPr>
                <w:rFonts w:hint="eastAsia" w:ascii="宋体" w:hAnsi="宋体" w:cs="宋体"/>
                <w:color w:val="000000"/>
                <w:sz w:val="21"/>
                <w:szCs w:val="21"/>
              </w:rPr>
              <w:t xml:space="preserve">采购厦门励益进出口有限公司 </w:t>
            </w:r>
            <w:r>
              <w:rPr>
                <w:rFonts w:hint="eastAsia" w:ascii="宋体" w:hAnsi="宋体" w:cs="宋体"/>
                <w:color w:val="000000"/>
                <w:sz w:val="21"/>
                <w:szCs w:val="21"/>
                <w:lang w:val="en-US" w:eastAsia="zh-CN"/>
              </w:rPr>
              <w:t>石材YH960#规格</w:t>
            </w:r>
            <w:r>
              <w:rPr>
                <w:rFonts w:hint="eastAsia"/>
                <w:color w:val="000000"/>
                <w:sz w:val="21"/>
                <w:szCs w:val="21"/>
                <w:lang w:val="en-US" w:eastAsia="zh-CN"/>
              </w:rPr>
              <w:t>97x92x260</w:t>
            </w:r>
            <w:r>
              <w:rPr>
                <w:rFonts w:hint="eastAsia" w:ascii="宋体" w:hAnsi="宋体" w:cs="宋体"/>
                <w:color w:val="000000"/>
                <w:sz w:val="21"/>
                <w:szCs w:val="21"/>
                <w:lang w:val="en-US" w:eastAsia="zh-CN"/>
              </w:rPr>
              <w:t>基础石材2.32方，石材YH961#规格</w:t>
            </w:r>
            <w:r>
              <w:rPr>
                <w:rFonts w:hint="eastAsia"/>
                <w:color w:val="000000"/>
                <w:sz w:val="21"/>
                <w:szCs w:val="21"/>
                <w:lang w:val="en-US" w:eastAsia="zh-CN"/>
              </w:rPr>
              <w:t>102x73x140</w:t>
            </w:r>
            <w:r>
              <w:rPr>
                <w:rFonts w:hint="eastAsia" w:ascii="宋体" w:hAnsi="宋体" w:cs="宋体"/>
                <w:color w:val="000000"/>
                <w:sz w:val="21"/>
                <w:szCs w:val="21"/>
                <w:lang w:val="en-US" w:eastAsia="zh-CN"/>
              </w:rPr>
              <w:t>基础石材1.042方，石材YH962#规格</w:t>
            </w:r>
            <w:r>
              <w:rPr>
                <w:rFonts w:hint="eastAsia"/>
                <w:color w:val="000000"/>
                <w:sz w:val="21"/>
                <w:szCs w:val="21"/>
                <w:lang w:val="en-US" w:eastAsia="zh-CN"/>
              </w:rPr>
              <w:t>70x75x181</w:t>
            </w:r>
            <w:r>
              <w:rPr>
                <w:rFonts w:hint="eastAsia" w:ascii="宋体" w:hAnsi="宋体" w:cs="宋体"/>
                <w:color w:val="000000"/>
                <w:sz w:val="21"/>
                <w:szCs w:val="21"/>
                <w:lang w:val="en-US" w:eastAsia="zh-CN"/>
              </w:rPr>
              <w:t>基础石材0.95方；</w:t>
            </w:r>
            <w:r>
              <w:rPr>
                <w:rFonts w:hint="eastAsia" w:ascii="宋体" w:hAnsi="宋体" w:cs="宋体"/>
                <w:color w:val="000000"/>
                <w:sz w:val="21"/>
                <w:szCs w:val="21"/>
                <w:lang w:eastAsia="zh-CN"/>
              </w:rPr>
              <w:t>2020</w:t>
            </w:r>
            <w:r>
              <w:rPr>
                <w:rFonts w:hint="eastAsia" w:ascii="宋体" w:hAnsi="宋体" w:cs="宋体"/>
                <w:color w:val="000000"/>
                <w:sz w:val="21"/>
                <w:szCs w:val="21"/>
              </w:rPr>
              <w:t>-</w:t>
            </w:r>
            <w:r>
              <w:rPr>
                <w:rFonts w:hint="eastAsia" w:ascii="宋体" w:hAnsi="宋体" w:cs="宋体"/>
                <w:color w:val="000000"/>
                <w:sz w:val="21"/>
                <w:szCs w:val="21"/>
                <w:lang w:val="en-US" w:eastAsia="zh-CN"/>
              </w:rPr>
              <w:t>7-21</w:t>
            </w:r>
            <w:r>
              <w:rPr>
                <w:rFonts w:hint="eastAsia" w:ascii="宋体" w:hAnsi="宋体" w:cs="宋体"/>
                <w:color w:val="000000"/>
                <w:sz w:val="21"/>
                <w:szCs w:val="21"/>
              </w:rPr>
              <w:t>采购福建省惠安县华新出进出口有限公司</w:t>
            </w:r>
            <w:r>
              <w:rPr>
                <w:rFonts w:hint="eastAsia" w:ascii="宋体" w:hAnsi="宋体" w:cs="宋体"/>
                <w:color w:val="000000"/>
                <w:sz w:val="21"/>
                <w:szCs w:val="21"/>
                <w:lang w:val="en-US" w:eastAsia="zh-CN"/>
              </w:rPr>
              <w:t xml:space="preserve"> LI-1942墓体，材质山西黑654，35套</w:t>
            </w:r>
            <w:r>
              <w:rPr>
                <w:rFonts w:hint="eastAsia" w:ascii="宋体" w:hAnsi="宋体" w:cs="宋体"/>
                <w:color w:val="000000"/>
                <w:sz w:val="21"/>
                <w:szCs w:val="21"/>
              </w:rPr>
              <w:t>等均向合格供方采购，均有采购协议，采购计划</w:t>
            </w:r>
            <w:r>
              <w:rPr>
                <w:rFonts w:hint="eastAsia" w:ascii="宋体" w:hAnsi="宋体" w:cs="宋体"/>
                <w:color w:val="000000"/>
                <w:sz w:val="21"/>
                <w:szCs w:val="21"/>
                <w:lang w:eastAsia="zh-CN"/>
              </w:rPr>
              <w:t>，</w:t>
            </w:r>
            <w:r>
              <w:rPr>
                <w:rFonts w:hint="eastAsia" w:ascii="宋体" w:hAnsi="宋体" w:cs="宋体"/>
                <w:color w:val="000000"/>
                <w:sz w:val="21"/>
                <w:szCs w:val="21"/>
              </w:rPr>
              <w:t>审批手续齐全，信息完整。</w:t>
            </w:r>
          </w:p>
          <w:p>
            <w:pPr>
              <w:spacing w:line="280" w:lineRule="exact"/>
              <w:ind w:firstLine="420" w:firstLineChars="200"/>
              <w:rPr>
                <w:rFonts w:hint="eastAsia"/>
                <w:color w:val="000000"/>
                <w:sz w:val="21"/>
                <w:szCs w:val="21"/>
                <w:lang w:eastAsia="zh-CN"/>
              </w:rPr>
            </w:pPr>
            <w:r>
              <w:rPr>
                <w:rFonts w:hint="eastAsia" w:ascii="宋体" w:hAnsi="宋体" w:cs="宋体"/>
                <w:color w:val="000000"/>
                <w:sz w:val="21"/>
                <w:szCs w:val="21"/>
              </w:rPr>
              <w:t>在采购控制程序中已规定了采购产品验证的方式，并且应在采购验证的要求中得到规定，在本公司检验或在顾客处进行检验情况，具体详见审核该部门8.6条款记录。</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7" w:type="dxa"/>
            <w:vAlign w:val="top"/>
          </w:tcPr>
          <w:p>
            <w:pPr>
              <w:keepNext w:val="0"/>
              <w:keepLines w:val="0"/>
              <w:pageBreakBefore w:val="0"/>
              <w:widowControl w:val="0"/>
              <w:kinsoku/>
              <w:wordWrap/>
              <w:overflowPunct/>
              <w:topLinePunct w:val="0"/>
              <w:autoSpaceDE/>
              <w:autoSpaceDN/>
              <w:bidi w:val="0"/>
              <w:spacing w:line="28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服务提供的控制</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p>
        </w:tc>
        <w:tc>
          <w:tcPr>
            <w:tcW w:w="1019" w:type="dxa"/>
            <w:vAlign w:val="top"/>
          </w:tcPr>
          <w:p>
            <w:pPr>
              <w:keepNext w:val="0"/>
              <w:keepLines w:val="0"/>
              <w:pageBreakBefore w:val="0"/>
              <w:widowControl w:val="0"/>
              <w:kinsoku/>
              <w:wordWrap/>
              <w:overflowPunct/>
              <w:topLinePunct w:val="0"/>
              <w:autoSpaceDE/>
              <w:autoSpaceDN/>
              <w:bidi w:val="0"/>
              <w:spacing w:line="280" w:lineRule="exac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Q</w:t>
            </w:r>
            <w:r>
              <w:rPr>
                <w:rFonts w:hint="eastAsia" w:ascii="宋体" w:hAnsi="宋体" w:eastAsia="宋体" w:cs="宋体"/>
                <w:sz w:val="21"/>
                <w:szCs w:val="21"/>
              </w:rPr>
              <w:t>8.5.1</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p>
        </w:tc>
        <w:tc>
          <w:tcPr>
            <w:tcW w:w="11223" w:type="dxa"/>
            <w:vAlign w:val="center"/>
          </w:tcPr>
          <w:p>
            <w:pPr>
              <w:spacing w:line="280" w:lineRule="exact"/>
              <w:ind w:firstLine="420" w:firstLineChars="200"/>
              <w:rPr>
                <w:rFonts w:hint="eastAsia"/>
                <w:color w:val="000000"/>
                <w:sz w:val="21"/>
                <w:szCs w:val="21"/>
                <w:lang w:eastAsia="zh-CN"/>
              </w:rPr>
            </w:pPr>
            <w:r>
              <w:rPr>
                <w:rFonts w:hint="eastAsia"/>
                <w:color w:val="000000"/>
                <w:sz w:val="21"/>
                <w:szCs w:val="21"/>
                <w:lang w:eastAsia="zh-CN"/>
              </w:rPr>
              <w:t>公司编制并执行《销售服务质量的控制规范》、《销售服务人员服务规范》、《售后服务规定》等。</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现场查看销售工作情况：</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1.下发的作业文件随手可得。规范规定了服务提供特性和验收标准，合同的洽商、评定和签订，售后服务保证，客户投诉的处置以及销售人员的产品知识业务能力的要求。文件可以指导销售过程的进行。</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2.资源配置齐备，设施设备可以满足要求。</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3.现场查看销售合同都进行了评审，参见8.2</w:t>
            </w:r>
            <w:r>
              <w:rPr>
                <w:rFonts w:hint="eastAsia"/>
                <w:color w:val="000000"/>
                <w:sz w:val="21"/>
                <w:szCs w:val="21"/>
                <w:lang w:val="en-US" w:eastAsia="zh-CN"/>
              </w:rPr>
              <w:t>记录</w:t>
            </w:r>
            <w:r>
              <w:rPr>
                <w:rFonts w:hint="eastAsia"/>
                <w:color w:val="000000"/>
                <w:sz w:val="21"/>
                <w:szCs w:val="21"/>
                <w:lang w:eastAsia="zh-CN"/>
              </w:rPr>
              <w:t>。</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4.现场提供有产品检验记录表、发货单、产品合格证，参见8.6</w:t>
            </w:r>
            <w:r>
              <w:rPr>
                <w:rFonts w:hint="eastAsia"/>
                <w:color w:val="000000"/>
                <w:sz w:val="21"/>
                <w:szCs w:val="21"/>
                <w:lang w:val="en-US" w:eastAsia="zh-CN"/>
              </w:rPr>
              <w:t>记录</w:t>
            </w:r>
            <w:r>
              <w:rPr>
                <w:rFonts w:hint="eastAsia"/>
                <w:color w:val="000000"/>
                <w:sz w:val="21"/>
                <w:szCs w:val="21"/>
                <w:lang w:eastAsia="zh-CN"/>
              </w:rPr>
              <w:t>。</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5.管理人员以及业务员、检验员都经过了培训，能力满足要求，无特种作业人员。</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6.公司将销售过程定为需要确认的过程。查有《特殊过程确认记录表》，2020.</w:t>
            </w:r>
            <w:r>
              <w:rPr>
                <w:rFonts w:hint="eastAsia"/>
                <w:color w:val="000000"/>
                <w:sz w:val="21"/>
                <w:szCs w:val="21"/>
                <w:lang w:val="en-US" w:eastAsia="zh-CN"/>
              </w:rPr>
              <w:t>3</w:t>
            </w:r>
            <w:r>
              <w:rPr>
                <w:rFonts w:hint="eastAsia"/>
                <w:color w:val="000000"/>
                <w:sz w:val="21"/>
                <w:szCs w:val="21"/>
                <w:lang w:eastAsia="zh-CN"/>
              </w:rPr>
              <w:t>.</w:t>
            </w:r>
            <w:r>
              <w:rPr>
                <w:rFonts w:hint="eastAsia"/>
                <w:color w:val="000000"/>
                <w:sz w:val="21"/>
                <w:szCs w:val="21"/>
                <w:lang w:val="en-US" w:eastAsia="zh-CN"/>
              </w:rPr>
              <w:t>6</w:t>
            </w:r>
            <w:r>
              <w:rPr>
                <w:rFonts w:hint="eastAsia"/>
                <w:color w:val="000000"/>
                <w:sz w:val="21"/>
                <w:szCs w:val="21"/>
                <w:lang w:eastAsia="zh-CN"/>
              </w:rPr>
              <w:t>日对销售过程，</w:t>
            </w:r>
            <w:r>
              <w:rPr>
                <w:rFonts w:hint="eastAsia" w:ascii="宋体" w:hAnsi="宋体" w:eastAsia="宋体" w:cs="宋体"/>
              </w:rPr>
              <w:t>通过对人员、办公设备、物资资料、作业方法、工作环境和市场环境五个方面的综合确认,本公司销售服务过程的作业能力能够持续的实现预期的结果。</w:t>
            </w:r>
            <w:r>
              <w:rPr>
                <w:rFonts w:hint="eastAsia"/>
                <w:color w:val="000000"/>
                <w:sz w:val="21"/>
                <w:szCs w:val="21"/>
                <w:lang w:eastAsia="zh-CN"/>
              </w:rPr>
              <w:t>确认人员：</w:t>
            </w:r>
            <w:r>
              <w:rPr>
                <w:rFonts w:hint="eastAsia"/>
                <w:color w:val="000000"/>
                <w:sz w:val="21"/>
                <w:szCs w:val="21"/>
                <w:lang w:val="en-US" w:eastAsia="zh-CN"/>
              </w:rPr>
              <w:t>黄惠泉</w:t>
            </w:r>
            <w:r>
              <w:rPr>
                <w:rFonts w:hint="eastAsia"/>
                <w:color w:val="000000"/>
                <w:sz w:val="21"/>
                <w:szCs w:val="21"/>
                <w:lang w:eastAsia="zh-CN"/>
              </w:rPr>
              <w:t>、林森泉。</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7.制定了销售管理制度、产品搬运管理制度、仓库管理制度等，规定了操作的步骤、方法、注意事项等，操作人员直接按要求进行控制，防止人为错误。</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8.抽查《服务质量检查评定表》，2020年</w:t>
            </w:r>
            <w:r>
              <w:rPr>
                <w:rFonts w:hint="eastAsia"/>
                <w:color w:val="000000"/>
                <w:sz w:val="21"/>
                <w:szCs w:val="21"/>
                <w:lang w:val="en-US" w:eastAsia="zh-CN"/>
              </w:rPr>
              <w:t>3</w:t>
            </w:r>
            <w:r>
              <w:rPr>
                <w:rFonts w:hint="eastAsia"/>
                <w:color w:val="000000"/>
                <w:sz w:val="21"/>
                <w:szCs w:val="21"/>
                <w:lang w:eastAsia="zh-CN"/>
              </w:rPr>
              <w:t>月2日对陈建辉 进行的工作监督，项目包括对</w:t>
            </w:r>
            <w:r>
              <w:rPr>
                <w:rFonts w:hint="eastAsia"/>
                <w:color w:val="000000"/>
                <w:sz w:val="21"/>
                <w:szCs w:val="21"/>
                <w:lang w:val="en-US" w:eastAsia="zh-CN"/>
              </w:rPr>
              <w:t>客户满意度</w:t>
            </w:r>
            <w:r>
              <w:rPr>
                <w:rFonts w:hint="eastAsia"/>
                <w:color w:val="000000"/>
                <w:sz w:val="21"/>
                <w:szCs w:val="21"/>
                <w:lang w:eastAsia="zh-CN"/>
              </w:rPr>
              <w:t>，对产品质量顾客验收合格率，顾客要求评审率，对产品交付及时率等</w:t>
            </w:r>
            <w:r>
              <w:rPr>
                <w:rFonts w:hint="eastAsia"/>
                <w:color w:val="000000"/>
                <w:sz w:val="21"/>
                <w:szCs w:val="21"/>
                <w:lang w:val="en-US" w:eastAsia="zh-CN"/>
              </w:rPr>
              <w:t>1</w:t>
            </w:r>
            <w:r>
              <w:rPr>
                <w:rFonts w:hint="eastAsia"/>
                <w:color w:val="000000"/>
                <w:sz w:val="21"/>
                <w:szCs w:val="21"/>
                <w:lang w:eastAsia="zh-CN"/>
              </w:rPr>
              <w:t>0项，检查评分9</w:t>
            </w:r>
            <w:r>
              <w:rPr>
                <w:rFonts w:hint="eastAsia"/>
                <w:color w:val="000000"/>
                <w:sz w:val="21"/>
                <w:szCs w:val="21"/>
                <w:lang w:val="en-US" w:eastAsia="zh-CN"/>
              </w:rPr>
              <w:t>5</w:t>
            </w:r>
            <w:r>
              <w:rPr>
                <w:rFonts w:hint="eastAsia"/>
                <w:color w:val="000000"/>
                <w:sz w:val="21"/>
                <w:szCs w:val="21"/>
                <w:lang w:eastAsia="zh-CN"/>
              </w:rPr>
              <w:t>分，检查人：检查人：</w:t>
            </w:r>
            <w:r>
              <w:rPr>
                <w:rFonts w:hint="eastAsia"/>
                <w:color w:val="000000"/>
                <w:sz w:val="21"/>
                <w:szCs w:val="21"/>
                <w:lang w:val="en-US" w:eastAsia="zh-CN"/>
              </w:rPr>
              <w:t>林森泉</w:t>
            </w:r>
            <w:r>
              <w:rPr>
                <w:rFonts w:hint="eastAsia"/>
                <w:color w:val="000000"/>
                <w:sz w:val="21"/>
                <w:szCs w:val="21"/>
                <w:lang w:eastAsia="zh-CN"/>
              </w:rPr>
              <w:t xml:space="preserve">  审核：</w:t>
            </w:r>
            <w:r>
              <w:rPr>
                <w:rFonts w:hint="eastAsia"/>
                <w:color w:val="000000"/>
                <w:sz w:val="21"/>
                <w:szCs w:val="21"/>
                <w:lang w:val="en-US" w:eastAsia="zh-CN"/>
              </w:rPr>
              <w:t>陈建阳</w:t>
            </w:r>
            <w:r>
              <w:rPr>
                <w:rFonts w:hint="eastAsia"/>
                <w:color w:val="000000"/>
                <w:sz w:val="21"/>
                <w:szCs w:val="21"/>
                <w:lang w:eastAsia="zh-CN"/>
              </w:rPr>
              <w:t xml:space="preserve"> 日期：2020.3.2。</w:t>
            </w:r>
          </w:p>
          <w:p>
            <w:pPr>
              <w:spacing w:line="280" w:lineRule="exact"/>
              <w:ind w:firstLine="420" w:firstLineChars="200"/>
              <w:rPr>
                <w:rFonts w:hint="default"/>
                <w:color w:val="000000"/>
                <w:sz w:val="21"/>
                <w:szCs w:val="21"/>
                <w:lang w:val="en-US" w:eastAsia="zh-CN"/>
              </w:rPr>
            </w:pPr>
            <w:r>
              <w:rPr>
                <w:rFonts w:hint="eastAsia"/>
                <w:color w:val="000000"/>
                <w:sz w:val="21"/>
                <w:szCs w:val="21"/>
                <w:lang w:val="en-US" w:eastAsia="zh-CN"/>
              </w:rPr>
              <w:t>每月对销售人员进行《销售服务质量检查表》，对销售过程进行《销售过程监督评价记录表》，查2020.1.20、2020.5.20等记录完善，无违规现象。</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9．产品都附有生产厂家、合格证、使用说明书、售后服务卡等，外包装完好。</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10．每包产品都附有售后服务卡，一年内有质量问题免费调换，免费维修。</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11．所有的产品都必须经检验合格后方可入库和交付。</w:t>
            </w:r>
            <w:r>
              <w:rPr>
                <w:rFonts w:hint="eastAsia"/>
                <w:color w:val="000000"/>
                <w:sz w:val="21"/>
                <w:szCs w:val="21"/>
                <w:lang w:val="en-US" w:eastAsia="zh-CN"/>
              </w:rPr>
              <w:t>检验人员</w:t>
            </w:r>
            <w:r>
              <w:rPr>
                <w:rFonts w:hint="eastAsia"/>
                <w:color w:val="000000"/>
                <w:sz w:val="21"/>
                <w:szCs w:val="21"/>
                <w:lang w:eastAsia="zh-CN"/>
              </w:rPr>
              <w:t>负责产品的检验和放行，产品经过检验合格后方可放行和交付，业务部负责产品交付和交付后活动的实施，并负责联系售后服务。发货前由业务部开具发货单(一式三份,留存一联、财务一联、客户一联)，库管员依据发货单发货，随货同行有产品合格证，公司负责联系货运交付到指定地点，经查</w:t>
            </w:r>
            <w:r>
              <w:rPr>
                <w:rFonts w:hint="eastAsia"/>
                <w:color w:val="000000"/>
                <w:sz w:val="21"/>
                <w:szCs w:val="21"/>
                <w:lang w:val="en-US" w:eastAsia="zh-CN"/>
              </w:rPr>
              <w:t>物流运输单、</w:t>
            </w:r>
            <w:r>
              <w:rPr>
                <w:rFonts w:hint="eastAsia"/>
                <w:color w:val="000000"/>
                <w:sz w:val="21"/>
                <w:szCs w:val="21"/>
                <w:lang w:eastAsia="zh-CN"/>
              </w:rPr>
              <w:t>出库、交付手续齐全。售后服务由业务部业务员按照售后服务规范执行，去客户现场培训和演示产品的使用方法和注意事项。</w:t>
            </w:r>
          </w:p>
          <w:p>
            <w:pPr>
              <w:spacing w:line="280" w:lineRule="exact"/>
              <w:ind w:firstLine="420" w:firstLineChars="200"/>
              <w:rPr>
                <w:rFonts w:hint="eastAsia"/>
                <w:color w:val="000000"/>
                <w:sz w:val="21"/>
                <w:szCs w:val="21"/>
                <w:lang w:eastAsia="zh-CN"/>
              </w:rPr>
            </w:pPr>
            <w:r>
              <w:rPr>
                <w:rFonts w:hint="eastAsia"/>
                <w:color w:val="000000"/>
                <w:sz w:val="21"/>
                <w:szCs w:val="21"/>
                <w:lang w:val="en-US" w:eastAsia="zh-CN"/>
              </w:rPr>
              <w:t>公司</w:t>
            </w:r>
            <w:r>
              <w:rPr>
                <w:rFonts w:hint="eastAsia"/>
                <w:color w:val="000000"/>
                <w:sz w:val="21"/>
                <w:szCs w:val="21"/>
                <w:lang w:eastAsia="zh-CN"/>
              </w:rPr>
              <w:t>销售服务过程的控制符合标准规定的要求。</w:t>
            </w:r>
          </w:p>
          <w:p>
            <w:pPr>
              <w:spacing w:line="280" w:lineRule="exact"/>
              <w:ind w:firstLine="420" w:firstLineChars="200"/>
              <w:rPr>
                <w:rFonts w:hint="eastAsia"/>
                <w:color w:val="000000"/>
                <w:sz w:val="21"/>
                <w:szCs w:val="21"/>
                <w:lang w:eastAsia="zh-CN"/>
              </w:rPr>
            </w:pP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707" w:type="dxa"/>
            <w:vAlign w:val="top"/>
          </w:tcPr>
          <w:p>
            <w:pPr>
              <w:keepNext w:val="0"/>
              <w:keepLines w:val="0"/>
              <w:pageBreakBefore w:val="0"/>
              <w:widowControl w:val="0"/>
              <w:kinsoku/>
              <w:wordWrap/>
              <w:overflowPunct/>
              <w:topLinePunct w:val="0"/>
              <w:autoSpaceDE/>
              <w:autoSpaceDN/>
              <w:bidi w:val="0"/>
              <w:spacing w:line="280" w:lineRule="exact"/>
              <w:textAlignment w:val="auto"/>
              <w:outlineLvl w:val="9"/>
              <w:rPr>
                <w:rFonts w:hint="eastAsia" w:ascii="宋体" w:hAnsi="宋体" w:eastAsia="宋体" w:cs="宋体"/>
                <w:sz w:val="24"/>
                <w:szCs w:val="24"/>
              </w:rPr>
            </w:pPr>
            <w:r>
              <w:rPr>
                <w:rFonts w:hint="eastAsia" w:ascii="宋体" w:hAnsi="宋体" w:eastAsia="宋体" w:cs="宋体"/>
                <w:sz w:val="21"/>
                <w:szCs w:val="21"/>
              </w:rPr>
              <w:t>标识和可追溯性</w:t>
            </w:r>
          </w:p>
        </w:tc>
        <w:tc>
          <w:tcPr>
            <w:tcW w:w="1019" w:type="dxa"/>
            <w:vAlign w:val="top"/>
          </w:tcPr>
          <w:p>
            <w:pPr>
              <w:keepNext w:val="0"/>
              <w:keepLines w:val="0"/>
              <w:pageBreakBefore w:val="0"/>
              <w:widowControl w:val="0"/>
              <w:kinsoku/>
              <w:wordWrap/>
              <w:overflowPunct/>
              <w:topLinePunct w:val="0"/>
              <w:autoSpaceDE/>
              <w:autoSpaceDN/>
              <w:bidi w:val="0"/>
              <w:spacing w:line="280" w:lineRule="exac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Q</w:t>
            </w:r>
            <w:r>
              <w:rPr>
                <w:rFonts w:hint="eastAsia" w:ascii="宋体" w:hAnsi="宋体" w:eastAsia="宋体" w:cs="宋体"/>
                <w:sz w:val="21"/>
                <w:szCs w:val="21"/>
              </w:rPr>
              <w:t>8.5.2</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p>
        </w:tc>
        <w:tc>
          <w:tcPr>
            <w:tcW w:w="11223" w:type="dxa"/>
            <w:vAlign w:val="top"/>
          </w:tcPr>
          <w:p>
            <w:pPr>
              <w:spacing w:line="280" w:lineRule="exact"/>
              <w:ind w:firstLine="420" w:firstLineChars="200"/>
              <w:rPr>
                <w:rFonts w:hint="eastAsia"/>
                <w:color w:val="000000"/>
                <w:sz w:val="21"/>
                <w:szCs w:val="21"/>
                <w:lang w:eastAsia="zh-CN"/>
              </w:rPr>
            </w:pPr>
            <w:r>
              <w:rPr>
                <w:rFonts w:hint="eastAsia"/>
                <w:color w:val="000000"/>
                <w:sz w:val="21"/>
                <w:szCs w:val="21"/>
                <w:lang w:eastAsia="zh-CN"/>
              </w:rPr>
              <w:t>在《管理手册》中规定公司向顾客提供商品时采取适当措施，确保商品进入经营场所到销售过程中均被明确标识，包括商品名称、种类、规格等信息及销售记录和票据等追溯查阅信息。</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标识:产品通常保留厂家标签、合格证等方式对产品进行标识，产品附有“合格证”有产品名称、型号、日期、检验人员代号等信息。</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产品外包装箱上有产品名称、规格型号、生产单位、数量等，</w:t>
            </w:r>
            <w:r>
              <w:rPr>
                <w:rFonts w:hint="eastAsia"/>
                <w:color w:val="000000"/>
                <w:sz w:val="21"/>
                <w:szCs w:val="21"/>
                <w:lang w:val="en-US" w:eastAsia="zh-CN"/>
              </w:rPr>
              <w:t>物流配送签订物流合同，注明送货地点，送货人，产品种类等，均</w:t>
            </w:r>
            <w:r>
              <w:rPr>
                <w:rFonts w:hint="eastAsia"/>
                <w:color w:val="000000"/>
                <w:sz w:val="21"/>
                <w:szCs w:val="21"/>
                <w:lang w:eastAsia="zh-CN"/>
              </w:rPr>
              <w:t>可作为追溯性标识。</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 xml:space="preserve"> 库管员核对标签无误后再交付。根据采购单、订单编号，检验报告等进行追溯；</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经现场查验标识齐全、清晰、正确，产品标识管理基本符合标准要求，并满足实际需要。</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r>
              <w:rPr>
                <w:rFonts w:hint="eastAsia" w:ascii="宋体" w:hAnsi="宋体" w:eastAsia="宋体" w:cs="宋体"/>
                <w:color w:val="000000"/>
                <w:sz w:val="21"/>
                <w:szCs w:val="21"/>
              </w:rPr>
              <w:t>顾客或</w:t>
            </w:r>
            <w:r>
              <w:rPr>
                <w:rFonts w:hint="eastAsia" w:ascii="宋体" w:hAnsi="宋体" w:eastAsia="宋体" w:cs="宋体"/>
                <w:color w:val="000000"/>
                <w:sz w:val="21"/>
                <w:szCs w:val="21"/>
                <w:lang w:eastAsia="zh-CN"/>
              </w:rPr>
              <w:t>外</w:t>
            </w:r>
            <w:r>
              <w:rPr>
                <w:rFonts w:hint="eastAsia" w:ascii="宋体" w:hAnsi="宋体" w:eastAsia="宋体" w:cs="宋体"/>
                <w:color w:val="000000"/>
                <w:sz w:val="21"/>
                <w:szCs w:val="21"/>
              </w:rPr>
              <w:t>供方财产</w:t>
            </w:r>
          </w:p>
        </w:tc>
        <w:tc>
          <w:tcPr>
            <w:tcW w:w="1019"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Q8.5.3</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p>
        </w:tc>
        <w:tc>
          <w:tcPr>
            <w:tcW w:w="11223" w:type="dxa"/>
            <w:vAlign w:val="top"/>
          </w:tcPr>
          <w:p>
            <w:pPr>
              <w:spacing w:line="280" w:lineRule="exact"/>
              <w:ind w:firstLine="420" w:firstLineChars="200"/>
              <w:rPr>
                <w:rFonts w:hint="eastAsia"/>
                <w:color w:val="000000"/>
                <w:sz w:val="21"/>
                <w:szCs w:val="21"/>
                <w:lang w:eastAsia="zh-CN"/>
              </w:rPr>
            </w:pPr>
            <w:r>
              <w:rPr>
                <w:rFonts w:hint="eastAsia"/>
                <w:color w:val="000000"/>
                <w:sz w:val="21"/>
                <w:szCs w:val="21"/>
                <w:lang w:eastAsia="zh-CN"/>
              </w:rPr>
              <w:t>公司在管理手册中，规定了对顾客或外部供方财产的管理，明确了对顾客或外部供方财产的登记、验收、保护、使用等相关要求。</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目前公司无外部供方的财产，涉及的顾客财产仅为顾客信息，公司对顾客相关信息做相关保密规定。</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顾客或外部供方的财产管理符合要求。</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707" w:type="dxa"/>
            <w:vAlign w:val="top"/>
          </w:tcPr>
          <w:p>
            <w:pPr>
              <w:keepNext w:val="0"/>
              <w:keepLines w:val="0"/>
              <w:pageBreakBefore w:val="0"/>
              <w:widowControl w:val="0"/>
              <w:kinsoku/>
              <w:wordWrap/>
              <w:overflowPunct/>
              <w:topLinePunct w:val="0"/>
              <w:autoSpaceDE/>
              <w:autoSpaceDN/>
              <w:bidi w:val="0"/>
              <w:spacing w:line="28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防护</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p>
        </w:tc>
        <w:tc>
          <w:tcPr>
            <w:tcW w:w="1019"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Q8.5.</w:t>
            </w:r>
            <w:r>
              <w:rPr>
                <w:rFonts w:hint="eastAsia" w:ascii="宋体" w:hAnsi="宋体" w:eastAsia="宋体" w:cs="宋体"/>
                <w:color w:val="000000"/>
                <w:sz w:val="21"/>
                <w:szCs w:val="21"/>
                <w:lang w:val="en-US" w:eastAsia="zh-CN"/>
              </w:rPr>
              <w:t>4</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cs="宋体"/>
                <w:color w:val="000000"/>
                <w:sz w:val="21"/>
                <w:szCs w:val="21"/>
              </w:rPr>
            </w:pPr>
          </w:p>
        </w:tc>
        <w:tc>
          <w:tcPr>
            <w:tcW w:w="11223" w:type="dxa"/>
            <w:vAlign w:val="top"/>
          </w:tcPr>
          <w:p>
            <w:pPr>
              <w:spacing w:line="280" w:lineRule="exact"/>
              <w:ind w:firstLine="420" w:firstLineChars="200"/>
              <w:rPr>
                <w:rFonts w:hint="eastAsia"/>
                <w:color w:val="000000"/>
                <w:sz w:val="21"/>
                <w:szCs w:val="21"/>
                <w:lang w:eastAsia="zh-CN"/>
              </w:rPr>
            </w:pPr>
            <w:r>
              <w:rPr>
                <w:rFonts w:hint="eastAsia"/>
                <w:color w:val="000000"/>
                <w:sz w:val="21"/>
                <w:szCs w:val="21"/>
                <w:lang w:eastAsia="zh-CN"/>
              </w:rPr>
              <w:t>组织对产品搬运、包装、贮存、运输以及交付等过程的防护实施控制：</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1、搬运：配置适宜的搬运工具，采用合理的搬运方法，对易损制定专门的搬运指导书，搬运人员按要求执行，做好产品防护，防止丢失和损坏。</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2、包装：包装人员核对产品合格证，保持产品外观清洁、完整，按装箱单核对装箱产品，包装后进行正确标识。</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3、贮存：规范仓库管理，保持安全适宜的贮存环境，先进先出，建立台账，定期盘点，经常查看库存物品。</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4、运输：用防震材料添紧，避免相互碰撞造成破损，对运输供方进行合格评定，签订运输合同，保证产品运输质量，并对运输质量进行记录，跟踪监督。</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5、交付：产品交付防护延续到交付的目的地。</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 xml:space="preserve"> 公司自体系运行以来，未发生由于产品防护不当导致产品质量事故的情况，防护措施能够满足要求。</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现场产品防护能够按照策划的要求实施，满足策划的要求。</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交付后活动</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p>
        </w:tc>
        <w:tc>
          <w:tcPr>
            <w:tcW w:w="1019"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cs="宋体"/>
                <w:color w:val="000000"/>
                <w:sz w:val="21"/>
                <w:szCs w:val="21"/>
              </w:rPr>
            </w:pPr>
            <w:r>
              <w:rPr>
                <w:rFonts w:hint="eastAsia" w:ascii="宋体" w:hAnsi="宋体" w:eastAsia="宋体" w:cs="宋体"/>
                <w:color w:val="000000"/>
                <w:sz w:val="21"/>
                <w:szCs w:val="21"/>
              </w:rPr>
              <w:t>Q8.5.5</w:t>
            </w:r>
          </w:p>
        </w:tc>
        <w:tc>
          <w:tcPr>
            <w:tcW w:w="11223" w:type="dxa"/>
            <w:vAlign w:val="top"/>
          </w:tcPr>
          <w:p>
            <w:pPr>
              <w:spacing w:line="280" w:lineRule="exact"/>
              <w:ind w:firstLine="420" w:firstLineChars="200"/>
              <w:rPr>
                <w:rFonts w:hint="eastAsia"/>
                <w:color w:val="000000"/>
                <w:sz w:val="21"/>
                <w:szCs w:val="21"/>
                <w:lang w:eastAsia="zh-CN"/>
              </w:rPr>
            </w:pPr>
            <w:r>
              <w:rPr>
                <w:rFonts w:hint="eastAsia"/>
                <w:color w:val="000000"/>
                <w:sz w:val="21"/>
                <w:szCs w:val="21"/>
                <w:lang w:eastAsia="zh-CN"/>
              </w:rPr>
              <w:t>与部门负责人沟通了解到组织主要通过与客户签订合同的形式对交付后的活动进行规定。合同通常包括：法律法规要求，交付后不合格的处理，产品的用途，顾客的要求等。确有需要时，组织派人员到客户处实地验证、解决相关问题，目前未发生。经了解，组织目前暂无交付后违反法律法规要求、违法合同要求、严重客户投诉的情况。收到客户建议、投诉后，组织通过邮件或者会议将信息传递给相关部门。</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基本满足要求。</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707" w:type="dxa"/>
            <w:vAlign w:val="top"/>
          </w:tcPr>
          <w:p>
            <w:pPr>
              <w:keepNext w:val="0"/>
              <w:keepLines w:val="0"/>
              <w:pageBreakBefore w:val="0"/>
              <w:widowControl w:val="0"/>
              <w:kinsoku/>
              <w:wordWrap/>
              <w:overflowPunct/>
              <w:topLinePunct w:val="0"/>
              <w:autoSpaceDE/>
              <w:autoSpaceDN/>
              <w:bidi w:val="0"/>
              <w:spacing w:line="280" w:lineRule="exact"/>
              <w:textAlignment w:val="auto"/>
              <w:outlineLvl w:val="9"/>
              <w:rPr>
                <w:rFonts w:hint="eastAsia" w:ascii="宋体" w:hAnsi="宋体" w:eastAsia="宋体" w:cs="宋体"/>
                <w:sz w:val="24"/>
                <w:szCs w:val="24"/>
              </w:rPr>
            </w:pPr>
            <w:r>
              <w:rPr>
                <w:rFonts w:hint="eastAsia" w:ascii="宋体" w:hAnsi="宋体" w:eastAsia="宋体" w:cs="宋体"/>
                <w:sz w:val="21"/>
                <w:szCs w:val="21"/>
              </w:rPr>
              <w:t>更改控制</w:t>
            </w:r>
          </w:p>
        </w:tc>
        <w:tc>
          <w:tcPr>
            <w:tcW w:w="1019"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cs="宋体"/>
                <w:color w:val="000000"/>
                <w:sz w:val="21"/>
                <w:szCs w:val="21"/>
              </w:rPr>
            </w:pPr>
            <w:r>
              <w:rPr>
                <w:rFonts w:hint="eastAsia" w:ascii="宋体" w:hAnsi="宋体" w:eastAsia="宋体" w:cs="宋体"/>
                <w:color w:val="000000"/>
                <w:sz w:val="21"/>
                <w:szCs w:val="21"/>
              </w:rPr>
              <w:t>Q8.5.</w:t>
            </w:r>
            <w:r>
              <w:rPr>
                <w:rFonts w:hint="eastAsia" w:ascii="宋体" w:hAnsi="宋体" w:eastAsia="宋体" w:cs="宋体"/>
                <w:color w:val="000000"/>
                <w:sz w:val="21"/>
                <w:szCs w:val="21"/>
                <w:lang w:val="en-US" w:eastAsia="zh-CN"/>
              </w:rPr>
              <w:t>6</w:t>
            </w:r>
          </w:p>
        </w:tc>
        <w:tc>
          <w:tcPr>
            <w:tcW w:w="11223" w:type="dxa"/>
            <w:vAlign w:val="top"/>
          </w:tcPr>
          <w:p>
            <w:pPr>
              <w:spacing w:line="280" w:lineRule="exact"/>
              <w:ind w:firstLine="420" w:firstLineChars="200"/>
              <w:rPr>
                <w:rFonts w:hint="eastAsia"/>
                <w:color w:val="000000"/>
                <w:sz w:val="21"/>
                <w:szCs w:val="21"/>
                <w:lang w:eastAsia="zh-CN"/>
              </w:rPr>
            </w:pPr>
            <w:r>
              <w:rPr>
                <w:rFonts w:hint="eastAsia"/>
                <w:color w:val="000000"/>
                <w:sz w:val="21"/>
                <w:szCs w:val="21"/>
                <w:lang w:eastAsia="zh-CN"/>
              </w:rPr>
              <w:t>业务部负责人介绍目前顾客、供方比较稳定，有关的法律法规没有发生变化，公司的设备、设施、人员、工艺都比较固定，所以销售和服务的提供没有发生过更改，现场也没有发现变更情况，问其有关的要求，比较熟悉。</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707" w:type="dxa"/>
            <w:vAlign w:val="center"/>
          </w:tcPr>
          <w:p>
            <w:pPr>
              <w:rPr>
                <w:rFonts w:hint="eastAsia" w:ascii="宋体" w:hAnsi="宋体" w:eastAsia="宋体" w:cs="宋体"/>
                <w:sz w:val="21"/>
                <w:szCs w:val="21"/>
              </w:rPr>
            </w:pPr>
            <w:r>
              <w:rPr>
                <w:rFonts w:hint="eastAsia" w:asciiTheme="minorEastAsia" w:hAnsiTheme="minorEastAsia" w:eastAsiaTheme="minorEastAsia" w:cstheme="minorEastAsia"/>
                <w:sz w:val="21"/>
                <w:szCs w:val="21"/>
              </w:rPr>
              <w:t>监视和测量资源</w:t>
            </w:r>
          </w:p>
        </w:tc>
        <w:tc>
          <w:tcPr>
            <w:tcW w:w="1019" w:type="dxa"/>
            <w:vAlign w:val="center"/>
          </w:tcPr>
          <w:p>
            <w:pPr>
              <w:spacing w:line="360" w:lineRule="auto"/>
              <w:ind w:right="-6" w:rightChars="-3"/>
              <w:jc w:val="center"/>
              <w:rPr>
                <w:rFonts w:hint="eastAsia" w:ascii="宋体" w:hAnsi="宋体" w:eastAsia="宋体" w:cs="宋体"/>
                <w:color w:val="000000"/>
                <w:sz w:val="21"/>
                <w:szCs w:val="21"/>
              </w:rPr>
            </w:pPr>
            <w:r>
              <w:rPr>
                <w:rFonts w:hint="eastAsia" w:asciiTheme="minorEastAsia" w:hAnsiTheme="minorEastAsia" w:eastAsiaTheme="minorEastAsia" w:cstheme="minorEastAsia"/>
                <w:bCs/>
                <w:sz w:val="21"/>
                <w:szCs w:val="21"/>
              </w:rPr>
              <w:t>Q：7.1.5</w:t>
            </w:r>
          </w:p>
        </w:tc>
        <w:tc>
          <w:tcPr>
            <w:tcW w:w="11223" w:type="dxa"/>
            <w:vAlign w:val="center"/>
          </w:tcPr>
          <w:p>
            <w:pPr>
              <w:spacing w:line="280" w:lineRule="exact"/>
              <w:ind w:firstLine="420" w:firstLineChars="200"/>
              <w:rPr>
                <w:rFonts w:hint="eastAsia"/>
                <w:color w:val="000000"/>
                <w:sz w:val="21"/>
                <w:szCs w:val="21"/>
              </w:rPr>
            </w:pPr>
            <w:r>
              <w:rPr>
                <w:rFonts w:hint="eastAsia"/>
                <w:color w:val="000000"/>
                <w:sz w:val="21"/>
                <w:szCs w:val="21"/>
              </w:rPr>
              <w:t>公司编制并实施《监视和测量</w:t>
            </w:r>
            <w:r>
              <w:rPr>
                <w:rFonts w:hint="eastAsia"/>
                <w:color w:val="000000"/>
                <w:sz w:val="21"/>
                <w:szCs w:val="21"/>
                <w:lang w:eastAsia="zh-CN"/>
              </w:rPr>
              <w:t>资源</w:t>
            </w:r>
            <w:r>
              <w:rPr>
                <w:rFonts w:hint="eastAsia"/>
                <w:color w:val="000000"/>
                <w:sz w:val="21"/>
                <w:szCs w:val="21"/>
              </w:rPr>
              <w:t>控制程序》进行了明确的规定，对检定的结果进行记录。</w:t>
            </w:r>
          </w:p>
          <w:p>
            <w:pPr>
              <w:spacing w:line="280" w:lineRule="exact"/>
              <w:ind w:firstLine="420" w:firstLineChars="200"/>
              <w:rPr>
                <w:rFonts w:hint="eastAsia"/>
                <w:color w:val="000000"/>
                <w:sz w:val="21"/>
                <w:szCs w:val="21"/>
                <w:lang w:val="en-US"/>
              </w:rPr>
            </w:pPr>
            <w:r>
              <w:rPr>
                <w:rFonts w:hint="eastAsia"/>
                <w:color w:val="000000"/>
                <w:sz w:val="21"/>
                <w:szCs w:val="21"/>
              </w:rPr>
              <w:t>公司</w:t>
            </w:r>
            <w:r>
              <w:rPr>
                <w:rFonts w:hint="eastAsia"/>
                <w:color w:val="000000"/>
                <w:sz w:val="21"/>
                <w:szCs w:val="21"/>
                <w:lang w:eastAsia="zh-CN"/>
              </w:rPr>
              <w:t>目前</w:t>
            </w:r>
            <w:r>
              <w:rPr>
                <w:rFonts w:hint="eastAsia"/>
                <w:color w:val="000000"/>
                <w:sz w:val="21"/>
                <w:szCs w:val="21"/>
              </w:rPr>
              <w:t>监视和测量</w:t>
            </w:r>
            <w:r>
              <w:rPr>
                <w:rFonts w:hint="eastAsia"/>
                <w:color w:val="000000"/>
                <w:sz w:val="21"/>
                <w:szCs w:val="21"/>
                <w:lang w:eastAsia="zh-CN"/>
              </w:rPr>
              <w:t>设备无，暂不需要</w:t>
            </w:r>
            <w:r>
              <w:rPr>
                <w:rFonts w:hint="eastAsia"/>
                <w:color w:val="000000"/>
                <w:sz w:val="21"/>
                <w:szCs w:val="21"/>
                <w:lang w:val="en-US" w:eastAsia="zh-CN"/>
              </w:rPr>
              <w:t>。</w:t>
            </w:r>
          </w:p>
          <w:p>
            <w:pPr>
              <w:spacing w:line="280" w:lineRule="exact"/>
              <w:ind w:firstLine="420" w:firstLineChars="200"/>
              <w:rPr>
                <w:rFonts w:hint="eastAsia"/>
                <w:color w:val="000000"/>
                <w:sz w:val="21"/>
                <w:szCs w:val="21"/>
              </w:rPr>
            </w:pPr>
            <w:r>
              <w:rPr>
                <w:rFonts w:hint="eastAsia"/>
                <w:color w:val="000000"/>
                <w:sz w:val="21"/>
                <w:szCs w:val="21"/>
              </w:rPr>
              <w:t>目前无计算机软件作为监视和测量设备。</w:t>
            </w:r>
          </w:p>
          <w:p>
            <w:pPr>
              <w:spacing w:line="280" w:lineRule="exact"/>
              <w:ind w:firstLine="420" w:firstLineChars="200"/>
              <w:rPr>
                <w:rFonts w:hint="eastAsia"/>
                <w:color w:val="000000"/>
                <w:sz w:val="21"/>
                <w:szCs w:val="21"/>
                <w:lang w:eastAsia="zh-CN"/>
              </w:rPr>
            </w:pPr>
            <w:r>
              <w:rPr>
                <w:rFonts w:hint="eastAsia"/>
                <w:color w:val="000000"/>
                <w:sz w:val="21"/>
                <w:szCs w:val="21"/>
              </w:rPr>
              <w:t>公司</w:t>
            </w:r>
            <w:r>
              <w:rPr>
                <w:rFonts w:hint="eastAsia"/>
                <w:color w:val="000000"/>
                <w:sz w:val="21"/>
                <w:szCs w:val="21"/>
                <w:lang w:eastAsia="zh-CN"/>
              </w:rPr>
              <w:t>对从事监视测量的人员资源制定了职责采取培训等形式，监测活动主要对采购产品进行名称、数量等监测，详见相关条款审核记录。</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707" w:type="dxa"/>
            <w:vAlign w:val="top"/>
          </w:tcPr>
          <w:p>
            <w:pPr>
              <w:jc w:val="both"/>
              <w:rPr>
                <w:rFonts w:hint="eastAsia" w:ascii="宋体" w:hAnsi="宋体" w:eastAsia="宋体" w:cs="宋体"/>
                <w:sz w:val="21"/>
                <w:szCs w:val="21"/>
              </w:rPr>
            </w:pPr>
            <w:r>
              <w:rPr>
                <w:rFonts w:hint="eastAsia" w:asciiTheme="minorEastAsia" w:hAnsiTheme="minorEastAsia" w:eastAsiaTheme="minorEastAsia" w:cstheme="minorEastAsia"/>
                <w:bCs/>
                <w:sz w:val="21"/>
                <w:szCs w:val="21"/>
              </w:rPr>
              <w:t>产品和服务的放行</w:t>
            </w:r>
          </w:p>
        </w:tc>
        <w:tc>
          <w:tcPr>
            <w:tcW w:w="1019" w:type="dxa"/>
            <w:vAlign w:val="top"/>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Q:8.6</w:t>
            </w:r>
            <w:r>
              <w:rPr>
                <w:rFonts w:hint="eastAsia" w:asciiTheme="minorEastAsia" w:hAnsiTheme="minorEastAsia" w:eastAsiaTheme="minorEastAsia" w:cstheme="minorEastAsia"/>
                <w:sz w:val="21"/>
                <w:szCs w:val="21"/>
              </w:rPr>
              <w:t xml:space="preserve"> </w:t>
            </w:r>
          </w:p>
          <w:p>
            <w:pPr>
              <w:spacing w:line="360" w:lineRule="auto"/>
              <w:ind w:firstLine="420" w:firstLineChars="200"/>
              <w:rPr>
                <w:rFonts w:hint="eastAsia" w:asciiTheme="minorEastAsia" w:hAnsiTheme="minorEastAsia" w:eastAsiaTheme="minorEastAsia" w:cstheme="minorEastAsia"/>
                <w:sz w:val="21"/>
                <w:szCs w:val="21"/>
              </w:rPr>
            </w:pPr>
          </w:p>
          <w:p>
            <w:pPr>
              <w:spacing w:line="360" w:lineRule="auto"/>
              <w:ind w:firstLine="420" w:firstLineChars="200"/>
              <w:rPr>
                <w:rFonts w:hint="eastAsia" w:asciiTheme="minorEastAsia" w:hAnsiTheme="minorEastAsia" w:eastAsiaTheme="minorEastAsia" w:cstheme="minorEastAsia"/>
                <w:sz w:val="21"/>
                <w:szCs w:val="21"/>
              </w:rPr>
            </w:pPr>
          </w:p>
          <w:p>
            <w:pPr>
              <w:spacing w:line="360" w:lineRule="auto"/>
              <w:ind w:firstLine="420" w:firstLineChars="200"/>
              <w:rPr>
                <w:rFonts w:hint="eastAsia" w:asciiTheme="minorEastAsia" w:hAnsiTheme="minorEastAsia" w:eastAsiaTheme="minorEastAsia" w:cstheme="minorEastAsia"/>
                <w:sz w:val="21"/>
                <w:szCs w:val="21"/>
              </w:rPr>
            </w:pPr>
          </w:p>
          <w:p>
            <w:pPr>
              <w:spacing w:line="360" w:lineRule="auto"/>
              <w:ind w:firstLine="420" w:firstLineChars="200"/>
              <w:rPr>
                <w:rFonts w:hint="eastAsia" w:asciiTheme="minorEastAsia" w:hAnsiTheme="minorEastAsia" w:eastAsiaTheme="minorEastAsia" w:cstheme="minorEastAsia"/>
                <w:sz w:val="21"/>
                <w:szCs w:val="21"/>
              </w:rPr>
            </w:pPr>
          </w:p>
          <w:p>
            <w:pPr>
              <w:spacing w:line="360" w:lineRule="auto"/>
              <w:ind w:firstLine="420" w:firstLineChars="200"/>
              <w:rPr>
                <w:rFonts w:hint="eastAsia" w:asciiTheme="minorEastAsia" w:hAnsiTheme="minorEastAsia" w:eastAsiaTheme="minorEastAsia" w:cstheme="minorEastAsia"/>
                <w:sz w:val="21"/>
                <w:szCs w:val="21"/>
              </w:rPr>
            </w:pPr>
          </w:p>
          <w:p>
            <w:pPr>
              <w:spacing w:line="360" w:lineRule="auto"/>
              <w:ind w:firstLine="420" w:firstLineChars="200"/>
              <w:rPr>
                <w:rFonts w:hint="eastAsia" w:asciiTheme="minorEastAsia" w:hAnsiTheme="minorEastAsia" w:eastAsiaTheme="minorEastAsia" w:cstheme="minorEastAsia"/>
                <w:sz w:val="21"/>
                <w:szCs w:val="21"/>
              </w:rPr>
            </w:pPr>
          </w:p>
          <w:p>
            <w:pPr>
              <w:spacing w:line="360" w:lineRule="auto"/>
              <w:ind w:firstLine="420" w:firstLineChars="200"/>
              <w:rPr>
                <w:rFonts w:hint="eastAsia" w:asciiTheme="minorEastAsia" w:hAnsiTheme="minorEastAsia" w:eastAsiaTheme="minorEastAsia" w:cstheme="minorEastAsia"/>
                <w:sz w:val="21"/>
                <w:szCs w:val="21"/>
              </w:rPr>
            </w:pPr>
          </w:p>
          <w:p>
            <w:pPr>
              <w:spacing w:line="360" w:lineRule="auto"/>
              <w:ind w:firstLine="420" w:firstLineChars="200"/>
              <w:rPr>
                <w:rFonts w:hint="eastAsia" w:asciiTheme="minorEastAsia" w:hAnsiTheme="minorEastAsia" w:eastAsiaTheme="minorEastAsia" w:cstheme="minorEastAsia"/>
                <w:sz w:val="21"/>
                <w:szCs w:val="21"/>
              </w:rPr>
            </w:pPr>
          </w:p>
          <w:p>
            <w:pPr>
              <w:spacing w:line="360" w:lineRule="auto"/>
              <w:ind w:firstLine="420" w:firstLineChars="200"/>
              <w:rPr>
                <w:rFonts w:hint="eastAsia" w:asciiTheme="minorEastAsia" w:hAnsiTheme="minorEastAsia" w:eastAsiaTheme="minorEastAsia" w:cstheme="minorEastAsia"/>
                <w:sz w:val="21"/>
                <w:szCs w:val="21"/>
              </w:rPr>
            </w:pPr>
          </w:p>
          <w:p>
            <w:pPr>
              <w:spacing w:line="360" w:lineRule="auto"/>
              <w:ind w:firstLine="420" w:firstLineChars="200"/>
              <w:rPr>
                <w:rFonts w:hint="eastAsia" w:asciiTheme="minorEastAsia" w:hAnsiTheme="minorEastAsia" w:eastAsiaTheme="minorEastAsia" w:cstheme="minorEastAsia"/>
                <w:sz w:val="21"/>
                <w:szCs w:val="21"/>
              </w:rPr>
            </w:pPr>
          </w:p>
          <w:p>
            <w:pPr>
              <w:spacing w:line="360" w:lineRule="auto"/>
              <w:ind w:firstLine="420" w:firstLineChars="200"/>
              <w:rPr>
                <w:rFonts w:hint="eastAsia" w:asciiTheme="minorEastAsia" w:hAnsiTheme="minorEastAsia" w:eastAsiaTheme="minorEastAsia" w:cstheme="minorEastAsia"/>
                <w:sz w:val="21"/>
                <w:szCs w:val="21"/>
              </w:rPr>
            </w:pPr>
          </w:p>
          <w:p>
            <w:pPr>
              <w:spacing w:line="360" w:lineRule="auto"/>
              <w:ind w:firstLine="420" w:firstLineChars="200"/>
              <w:rPr>
                <w:rFonts w:hint="eastAsia" w:asciiTheme="minorEastAsia" w:hAnsiTheme="minorEastAsia" w:eastAsiaTheme="minorEastAsia" w:cstheme="minorEastAsia"/>
                <w:sz w:val="21"/>
                <w:szCs w:val="21"/>
              </w:rPr>
            </w:pPr>
          </w:p>
          <w:p>
            <w:pPr>
              <w:spacing w:line="360" w:lineRule="auto"/>
              <w:ind w:firstLine="420" w:firstLineChars="200"/>
              <w:rPr>
                <w:rFonts w:hint="eastAsia" w:asciiTheme="minorEastAsia" w:hAnsiTheme="minorEastAsia" w:eastAsiaTheme="minorEastAsia" w:cstheme="minorEastAsia"/>
                <w:sz w:val="21"/>
                <w:szCs w:val="21"/>
              </w:rPr>
            </w:pPr>
          </w:p>
          <w:p>
            <w:pPr>
              <w:spacing w:line="360" w:lineRule="auto"/>
              <w:ind w:firstLine="420" w:firstLineChars="200"/>
              <w:rPr>
                <w:rFonts w:hint="eastAsia" w:asciiTheme="minorEastAsia" w:hAnsiTheme="minorEastAsia" w:eastAsiaTheme="minorEastAsia" w:cstheme="minorEastAsia"/>
                <w:sz w:val="21"/>
                <w:szCs w:val="21"/>
              </w:rPr>
            </w:pPr>
          </w:p>
          <w:p>
            <w:pPr>
              <w:spacing w:line="360" w:lineRule="auto"/>
              <w:ind w:firstLine="420" w:firstLineChars="200"/>
              <w:rPr>
                <w:rFonts w:hint="eastAsia" w:asciiTheme="minorEastAsia" w:hAnsiTheme="minorEastAsia" w:eastAsiaTheme="minorEastAsia" w:cstheme="minorEastAsia"/>
                <w:sz w:val="21"/>
                <w:szCs w:val="21"/>
              </w:rPr>
            </w:pPr>
          </w:p>
          <w:p>
            <w:pPr>
              <w:spacing w:line="360" w:lineRule="auto"/>
              <w:ind w:firstLine="420" w:firstLineChars="200"/>
              <w:rPr>
                <w:rFonts w:hint="eastAsia" w:asciiTheme="minorEastAsia" w:hAnsiTheme="minorEastAsia" w:eastAsiaTheme="minorEastAsia" w:cstheme="minorEastAsia"/>
                <w:sz w:val="21"/>
                <w:szCs w:val="21"/>
              </w:rPr>
            </w:pPr>
          </w:p>
          <w:p>
            <w:pPr>
              <w:spacing w:line="360" w:lineRule="auto"/>
              <w:ind w:firstLine="420" w:firstLineChars="200"/>
              <w:rPr>
                <w:rFonts w:hint="eastAsia" w:asciiTheme="minorEastAsia" w:hAnsiTheme="minorEastAsia" w:eastAsiaTheme="minorEastAsia" w:cstheme="minorEastAsia"/>
                <w:sz w:val="21"/>
                <w:szCs w:val="21"/>
              </w:rPr>
            </w:pPr>
          </w:p>
          <w:p>
            <w:pPr>
              <w:spacing w:line="360" w:lineRule="auto"/>
              <w:ind w:firstLine="420" w:firstLineChars="200"/>
              <w:rPr>
                <w:rFonts w:hint="eastAsia" w:asciiTheme="minorEastAsia" w:hAnsiTheme="minorEastAsia" w:eastAsiaTheme="minorEastAsia" w:cstheme="minorEastAsia"/>
                <w:sz w:val="21"/>
                <w:szCs w:val="21"/>
              </w:rPr>
            </w:pPr>
          </w:p>
          <w:p>
            <w:pPr>
              <w:spacing w:line="360" w:lineRule="auto"/>
              <w:ind w:firstLine="420" w:firstLineChars="200"/>
              <w:rPr>
                <w:rFonts w:hint="eastAsia" w:asciiTheme="minorEastAsia" w:hAnsiTheme="minorEastAsia" w:eastAsiaTheme="minorEastAsia" w:cstheme="minorEastAsia"/>
                <w:sz w:val="21"/>
                <w:szCs w:val="21"/>
              </w:rPr>
            </w:pPr>
          </w:p>
          <w:p>
            <w:pPr>
              <w:spacing w:line="360" w:lineRule="auto"/>
              <w:ind w:firstLine="420" w:firstLineChars="200"/>
              <w:rPr>
                <w:rFonts w:hint="eastAsia" w:asciiTheme="minorEastAsia" w:hAnsiTheme="minorEastAsia" w:eastAsiaTheme="minorEastAsia" w:cstheme="minorEastAsia"/>
                <w:sz w:val="21"/>
                <w:szCs w:val="21"/>
              </w:rPr>
            </w:pPr>
          </w:p>
          <w:p>
            <w:pPr>
              <w:spacing w:line="360" w:lineRule="auto"/>
              <w:ind w:firstLine="420" w:firstLineChars="200"/>
              <w:rPr>
                <w:rFonts w:hint="eastAsia" w:asciiTheme="minorEastAsia" w:hAnsiTheme="minorEastAsia" w:eastAsiaTheme="minorEastAsia" w:cstheme="minorEastAsia"/>
                <w:sz w:val="21"/>
                <w:szCs w:val="21"/>
              </w:rPr>
            </w:pPr>
          </w:p>
          <w:p>
            <w:pPr>
              <w:spacing w:line="360" w:lineRule="auto"/>
              <w:ind w:firstLine="420" w:firstLineChars="200"/>
              <w:rPr>
                <w:rFonts w:hint="eastAsia" w:asciiTheme="minorEastAsia" w:hAnsiTheme="minorEastAsia" w:eastAsiaTheme="minorEastAsia" w:cstheme="minorEastAsia"/>
                <w:sz w:val="21"/>
                <w:szCs w:val="21"/>
              </w:rPr>
            </w:pPr>
          </w:p>
          <w:p>
            <w:pPr>
              <w:spacing w:line="360" w:lineRule="auto"/>
              <w:ind w:firstLine="420" w:firstLineChars="200"/>
              <w:rPr>
                <w:rFonts w:hint="eastAsia" w:ascii="宋体" w:hAnsi="宋体" w:eastAsia="宋体" w:cs="宋体"/>
                <w:color w:val="000000"/>
                <w:sz w:val="21"/>
                <w:szCs w:val="21"/>
              </w:rPr>
            </w:pPr>
          </w:p>
        </w:tc>
        <w:tc>
          <w:tcPr>
            <w:tcW w:w="11223" w:type="dxa"/>
            <w:vAlign w:val="top"/>
          </w:tcPr>
          <w:p>
            <w:pPr>
              <w:spacing w:line="360" w:lineRule="auto"/>
              <w:ind w:right="-6" w:rightChars="-3"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公司</w:t>
            </w:r>
            <w:r>
              <w:rPr>
                <w:rFonts w:hint="eastAsia" w:asciiTheme="minorEastAsia" w:hAnsiTheme="minorEastAsia" w:eastAsiaTheme="minorEastAsia" w:cstheme="minorEastAsia"/>
                <w:sz w:val="21"/>
                <w:szCs w:val="21"/>
              </w:rPr>
              <w:t>确定了产品所要求的检验方法，按行业相关标准、客户要求实施产品验证，并制定了相应的检验规范。</w:t>
            </w:r>
          </w:p>
          <w:p>
            <w:pPr>
              <w:spacing w:line="360" w:lineRule="auto"/>
              <w:ind w:right="-6" w:rightChars="-3"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（2）产品检验：检验依据《采购物资检验规范》。</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抽查《</w:t>
            </w:r>
            <w:r>
              <w:rPr>
                <w:rFonts w:hint="eastAsia" w:asciiTheme="minorEastAsia" w:hAnsiTheme="minorEastAsia" w:eastAsiaTheme="minorEastAsia" w:cstheme="minorEastAsia"/>
                <w:sz w:val="21"/>
                <w:szCs w:val="21"/>
                <w:lang w:val="en-US" w:eastAsia="zh-CN"/>
              </w:rPr>
              <w:t>采购产品验收单</w:t>
            </w:r>
            <w:r>
              <w:rPr>
                <w:rFonts w:hint="eastAsia" w:asciiTheme="minorEastAsia" w:hAnsiTheme="minorEastAsia" w:eastAsiaTheme="minorEastAsia" w:cstheme="minorEastAsia"/>
                <w:sz w:val="21"/>
                <w:szCs w:val="21"/>
              </w:rPr>
              <w:t>》：</w:t>
            </w:r>
          </w:p>
          <w:p>
            <w:pPr>
              <w:spacing w:line="360"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w:t>
            </w:r>
          </w:p>
          <w:tbl>
            <w:tblPr>
              <w:tblStyle w:val="7"/>
              <w:tblW w:w="11003" w:type="dxa"/>
              <w:tblInd w:w="0" w:type="dxa"/>
              <w:shd w:val="clear" w:color="auto" w:fill="auto"/>
              <w:tblLayout w:type="fixed"/>
              <w:tblCellMar>
                <w:top w:w="0" w:type="dxa"/>
                <w:left w:w="108" w:type="dxa"/>
                <w:bottom w:w="0" w:type="dxa"/>
                <w:right w:w="108" w:type="dxa"/>
              </w:tblCellMar>
            </w:tblPr>
            <w:tblGrid>
              <w:gridCol w:w="843"/>
              <w:gridCol w:w="970"/>
              <w:gridCol w:w="1750"/>
              <w:gridCol w:w="2247"/>
              <w:gridCol w:w="594"/>
              <w:gridCol w:w="603"/>
              <w:gridCol w:w="612"/>
              <w:gridCol w:w="676"/>
              <w:gridCol w:w="1056"/>
              <w:gridCol w:w="663"/>
              <w:gridCol w:w="989"/>
            </w:tblGrid>
            <w:tr>
              <w:tblPrEx>
                <w:shd w:val="clear" w:color="auto" w:fill="auto"/>
              </w:tblPrEx>
              <w:trPr>
                <w:cantSplit/>
                <w:trHeight w:val="300" w:hRule="atLeast"/>
              </w:trPr>
              <w:tc>
                <w:tcPr>
                  <w:tcW w:w="383" w:type="pct"/>
                  <w:vMerge w:val="restart"/>
                  <w:tcBorders>
                    <w:top w:val="single" w:color="auto" w:sz="8" w:space="0"/>
                    <w:left w:val="single" w:color="auto" w:sz="8" w:space="0"/>
                    <w:bottom w:val="single" w:color="000000" w:sz="8" w:space="0"/>
                    <w:right w:val="single" w:color="auto" w:sz="8" w:space="0"/>
                  </w:tcBorders>
                  <w:shd w:val="clear" w:color="auto" w:fill="auto"/>
                  <w:noWrap w:val="0"/>
                  <w:vAlign w:val="center"/>
                </w:tcPr>
                <w:p>
                  <w:pPr>
                    <w:widowControl/>
                    <w:rPr>
                      <w:rFonts w:hint="eastAsia" w:ascii="宋体" w:hAnsi="宋体" w:cs="Arial"/>
                      <w:kern w:val="0"/>
                      <w:szCs w:val="21"/>
                    </w:rPr>
                  </w:pPr>
                  <w:r>
                    <w:rPr>
                      <w:rFonts w:hint="eastAsia" w:ascii="宋体" w:hAnsi="宋体" w:cs="Arial"/>
                      <w:kern w:val="0"/>
                      <w:szCs w:val="21"/>
                    </w:rPr>
                    <w:t>日期</w:t>
                  </w:r>
                </w:p>
              </w:tc>
              <w:tc>
                <w:tcPr>
                  <w:tcW w:w="440" w:type="pct"/>
                  <w:vMerge w:val="restart"/>
                  <w:tcBorders>
                    <w:top w:val="single" w:color="auto" w:sz="8" w:space="0"/>
                    <w:left w:val="single" w:color="auto" w:sz="8" w:space="0"/>
                    <w:bottom w:val="single" w:color="000000" w:sz="8" w:space="0"/>
                    <w:right w:val="single" w:color="auto" w:sz="8" w:space="0"/>
                  </w:tcBorders>
                  <w:shd w:val="clear" w:color="auto" w:fill="auto"/>
                  <w:noWrap w:val="0"/>
                  <w:vAlign w:val="center"/>
                </w:tcPr>
                <w:p>
                  <w:pPr>
                    <w:widowControl/>
                    <w:rPr>
                      <w:rFonts w:hint="eastAsia" w:ascii="宋体" w:hAnsi="宋体" w:cs="Arial"/>
                      <w:kern w:val="0"/>
                      <w:szCs w:val="21"/>
                    </w:rPr>
                  </w:pPr>
                  <w:r>
                    <w:rPr>
                      <w:rFonts w:hint="eastAsia" w:ascii="宋体" w:hAnsi="宋体" w:cs="Arial"/>
                      <w:kern w:val="0"/>
                      <w:szCs w:val="21"/>
                    </w:rPr>
                    <w:t>物资名称</w:t>
                  </w:r>
                </w:p>
              </w:tc>
              <w:tc>
                <w:tcPr>
                  <w:tcW w:w="795" w:type="pct"/>
                  <w:vMerge w:val="restart"/>
                  <w:tcBorders>
                    <w:top w:val="single" w:color="auto" w:sz="8" w:space="0"/>
                    <w:left w:val="single" w:color="auto" w:sz="8" w:space="0"/>
                    <w:bottom w:val="single" w:color="000000" w:sz="8" w:space="0"/>
                    <w:right w:val="single" w:color="auto" w:sz="8" w:space="0"/>
                  </w:tcBorders>
                  <w:shd w:val="clear" w:color="auto" w:fill="auto"/>
                  <w:noWrap w:val="0"/>
                  <w:vAlign w:val="center"/>
                </w:tcPr>
                <w:p>
                  <w:pPr>
                    <w:widowControl/>
                    <w:rPr>
                      <w:rFonts w:hint="eastAsia" w:ascii="宋体" w:hAnsi="宋体" w:cs="Arial"/>
                      <w:kern w:val="0"/>
                      <w:szCs w:val="21"/>
                    </w:rPr>
                  </w:pPr>
                  <w:r>
                    <w:rPr>
                      <w:rFonts w:hint="eastAsia" w:ascii="宋体" w:hAnsi="宋体" w:cs="Arial"/>
                      <w:kern w:val="0"/>
                      <w:szCs w:val="21"/>
                    </w:rPr>
                    <w:t>规格型号</w:t>
                  </w:r>
                </w:p>
              </w:tc>
              <w:tc>
                <w:tcPr>
                  <w:tcW w:w="1021" w:type="pct"/>
                  <w:vMerge w:val="restart"/>
                  <w:tcBorders>
                    <w:top w:val="single" w:color="auto" w:sz="8" w:space="0"/>
                    <w:left w:val="single" w:color="auto" w:sz="8" w:space="0"/>
                    <w:bottom w:val="single" w:color="000000" w:sz="8" w:space="0"/>
                    <w:right w:val="single" w:color="auto" w:sz="8" w:space="0"/>
                  </w:tcBorders>
                  <w:shd w:val="clear" w:color="auto" w:fill="auto"/>
                  <w:noWrap w:val="0"/>
                  <w:vAlign w:val="center"/>
                </w:tcPr>
                <w:p>
                  <w:pPr>
                    <w:widowControl/>
                    <w:rPr>
                      <w:rFonts w:hint="eastAsia" w:ascii="宋体" w:hAnsi="宋体" w:cs="Arial"/>
                      <w:kern w:val="0"/>
                      <w:szCs w:val="21"/>
                    </w:rPr>
                  </w:pPr>
                  <w:r>
                    <w:rPr>
                      <w:rFonts w:hint="eastAsia" w:ascii="宋体" w:hAnsi="宋体" w:cs="Arial"/>
                      <w:kern w:val="0"/>
                      <w:szCs w:val="21"/>
                    </w:rPr>
                    <w:t>供应商名称</w:t>
                  </w:r>
                </w:p>
              </w:tc>
              <w:tc>
                <w:tcPr>
                  <w:tcW w:w="2359" w:type="pct"/>
                  <w:gridSpan w:val="7"/>
                  <w:tcBorders>
                    <w:top w:val="single" w:color="auto" w:sz="8" w:space="0"/>
                    <w:left w:val="nil"/>
                    <w:bottom w:val="single" w:color="auto" w:sz="8" w:space="0"/>
                    <w:right w:val="single" w:color="000000" w:sz="8" w:space="0"/>
                  </w:tcBorders>
                  <w:shd w:val="clear" w:color="auto" w:fill="auto"/>
                  <w:noWrap w:val="0"/>
                  <w:vAlign w:val="center"/>
                </w:tcPr>
                <w:p>
                  <w:pPr>
                    <w:widowControl/>
                    <w:rPr>
                      <w:rFonts w:hint="eastAsia" w:ascii="宋体" w:hAnsi="宋体" w:cs="Arial"/>
                      <w:kern w:val="0"/>
                      <w:szCs w:val="21"/>
                    </w:rPr>
                  </w:pPr>
                  <w:r>
                    <w:rPr>
                      <w:rFonts w:hint="eastAsia" w:ascii="宋体" w:hAnsi="宋体" w:cs="Arial"/>
                      <w:kern w:val="0"/>
                      <w:szCs w:val="21"/>
                    </w:rPr>
                    <w:t>检查项目</w:t>
                  </w:r>
                </w:p>
              </w:tc>
            </w:tr>
            <w:tr>
              <w:tblPrEx>
                <w:shd w:val="clear" w:color="auto" w:fill="auto"/>
                <w:tblCellMar>
                  <w:top w:w="0" w:type="dxa"/>
                  <w:left w:w="108" w:type="dxa"/>
                  <w:bottom w:w="0" w:type="dxa"/>
                  <w:right w:w="108" w:type="dxa"/>
                </w:tblCellMar>
              </w:tblPrEx>
              <w:trPr>
                <w:cantSplit/>
                <w:trHeight w:val="644" w:hRule="atLeast"/>
              </w:trPr>
              <w:tc>
                <w:tcPr>
                  <w:tcW w:w="383" w:type="pct"/>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pPr>
                    <w:widowControl/>
                    <w:rPr>
                      <w:rFonts w:hint="eastAsia" w:ascii="宋体" w:hAnsi="宋体" w:cs="Arial"/>
                      <w:kern w:val="0"/>
                      <w:szCs w:val="21"/>
                    </w:rPr>
                  </w:pPr>
                </w:p>
              </w:tc>
              <w:tc>
                <w:tcPr>
                  <w:tcW w:w="440" w:type="pct"/>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pPr>
                    <w:widowControl/>
                    <w:rPr>
                      <w:rFonts w:hint="eastAsia" w:ascii="宋体" w:hAnsi="宋体" w:cs="Arial"/>
                      <w:kern w:val="0"/>
                      <w:szCs w:val="21"/>
                    </w:rPr>
                  </w:pPr>
                </w:p>
              </w:tc>
              <w:tc>
                <w:tcPr>
                  <w:tcW w:w="795" w:type="pct"/>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pPr>
                    <w:widowControl/>
                    <w:rPr>
                      <w:rFonts w:hint="eastAsia" w:ascii="宋体" w:hAnsi="宋体" w:cs="Arial"/>
                      <w:kern w:val="0"/>
                      <w:szCs w:val="21"/>
                    </w:rPr>
                  </w:pPr>
                </w:p>
              </w:tc>
              <w:tc>
                <w:tcPr>
                  <w:tcW w:w="1021" w:type="pct"/>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pPr>
                    <w:widowControl/>
                    <w:rPr>
                      <w:rFonts w:hint="eastAsia" w:ascii="宋体" w:hAnsi="宋体" w:cs="Arial"/>
                      <w:kern w:val="0"/>
                      <w:szCs w:val="21"/>
                    </w:rPr>
                  </w:pPr>
                </w:p>
              </w:tc>
              <w:tc>
                <w:tcPr>
                  <w:tcW w:w="269" w:type="pct"/>
                  <w:tcBorders>
                    <w:top w:val="single" w:color="auto" w:sz="8" w:space="0"/>
                    <w:left w:val="nil"/>
                    <w:bottom w:val="single" w:color="auto" w:sz="4" w:space="0"/>
                    <w:right w:val="single" w:color="000000" w:sz="8" w:space="0"/>
                  </w:tcBorders>
                  <w:shd w:val="clear" w:color="auto" w:fill="auto"/>
                  <w:noWrap w:val="0"/>
                  <w:vAlign w:val="center"/>
                </w:tcPr>
                <w:p>
                  <w:pPr>
                    <w:widowControl/>
                    <w:rPr>
                      <w:rFonts w:hint="eastAsia" w:ascii="宋体" w:hAnsi="宋体" w:cs="Arial"/>
                      <w:kern w:val="0"/>
                      <w:szCs w:val="21"/>
                    </w:rPr>
                  </w:pPr>
                  <w:r>
                    <w:rPr>
                      <w:rFonts w:hint="eastAsia" w:ascii="宋体" w:hAnsi="宋体" w:cs="Arial"/>
                      <w:kern w:val="0"/>
                      <w:szCs w:val="21"/>
                    </w:rPr>
                    <w:t>数量</w:t>
                  </w:r>
                </w:p>
              </w:tc>
              <w:tc>
                <w:tcPr>
                  <w:tcW w:w="274" w:type="pct"/>
                  <w:tcBorders>
                    <w:top w:val="nil"/>
                    <w:left w:val="single" w:color="auto" w:sz="8" w:space="0"/>
                    <w:bottom w:val="single" w:color="000000" w:sz="8" w:space="0"/>
                    <w:right w:val="single" w:color="auto" w:sz="8" w:space="0"/>
                  </w:tcBorders>
                  <w:shd w:val="clear" w:color="auto" w:fill="auto"/>
                  <w:noWrap w:val="0"/>
                  <w:vAlign w:val="center"/>
                </w:tcPr>
                <w:p>
                  <w:pPr>
                    <w:widowControl/>
                    <w:rPr>
                      <w:rFonts w:hint="eastAsia" w:ascii="宋体" w:hAnsi="宋体" w:cs="Arial"/>
                      <w:kern w:val="0"/>
                      <w:szCs w:val="21"/>
                    </w:rPr>
                  </w:pPr>
                  <w:r>
                    <w:rPr>
                      <w:rFonts w:hint="eastAsia" w:ascii="宋体" w:hAnsi="宋体" w:cs="Arial"/>
                      <w:kern w:val="0"/>
                      <w:szCs w:val="21"/>
                    </w:rPr>
                    <w:t>外观</w:t>
                  </w:r>
                </w:p>
                <w:p>
                  <w:pPr>
                    <w:widowControl/>
                    <w:rPr>
                      <w:rFonts w:hint="eastAsia" w:ascii="宋体" w:hAnsi="宋体" w:cs="Arial"/>
                      <w:kern w:val="0"/>
                      <w:szCs w:val="21"/>
                    </w:rPr>
                  </w:pPr>
                  <w:r>
                    <w:rPr>
                      <w:rFonts w:hint="eastAsia" w:ascii="宋体" w:hAnsi="宋体" w:cs="Arial"/>
                      <w:kern w:val="0"/>
                      <w:szCs w:val="21"/>
                    </w:rPr>
                    <w:t>质量</w:t>
                  </w:r>
                </w:p>
              </w:tc>
              <w:tc>
                <w:tcPr>
                  <w:tcW w:w="278" w:type="pct"/>
                  <w:tcBorders>
                    <w:top w:val="nil"/>
                    <w:left w:val="single" w:color="auto" w:sz="8" w:space="0"/>
                    <w:bottom w:val="single" w:color="000000" w:sz="8" w:space="0"/>
                    <w:right w:val="single" w:color="auto" w:sz="8" w:space="0"/>
                  </w:tcBorders>
                  <w:shd w:val="clear" w:color="auto" w:fill="auto"/>
                  <w:noWrap w:val="0"/>
                  <w:vAlign w:val="center"/>
                </w:tcPr>
                <w:p>
                  <w:pPr>
                    <w:widowControl/>
                    <w:rPr>
                      <w:rFonts w:hint="eastAsia" w:ascii="宋体" w:hAnsi="宋体" w:cs="Arial"/>
                      <w:kern w:val="0"/>
                      <w:szCs w:val="21"/>
                    </w:rPr>
                  </w:pPr>
                  <w:r>
                    <w:rPr>
                      <w:rFonts w:hint="eastAsia" w:ascii="宋体" w:hAnsi="宋体" w:cs="Arial"/>
                      <w:kern w:val="0"/>
                      <w:szCs w:val="21"/>
                    </w:rPr>
                    <w:t>关键</w:t>
                  </w:r>
                </w:p>
                <w:p>
                  <w:pPr>
                    <w:widowControl/>
                    <w:rPr>
                      <w:rFonts w:hint="eastAsia" w:ascii="宋体" w:hAnsi="宋体" w:cs="Arial"/>
                      <w:kern w:val="0"/>
                      <w:szCs w:val="21"/>
                    </w:rPr>
                  </w:pPr>
                  <w:r>
                    <w:rPr>
                      <w:rFonts w:hint="eastAsia" w:ascii="宋体" w:hAnsi="宋体" w:cs="Arial"/>
                      <w:kern w:val="0"/>
                      <w:szCs w:val="21"/>
                    </w:rPr>
                    <w:t>指标</w:t>
                  </w:r>
                </w:p>
              </w:tc>
              <w:tc>
                <w:tcPr>
                  <w:tcW w:w="307" w:type="pct"/>
                  <w:tcBorders>
                    <w:top w:val="nil"/>
                    <w:left w:val="single" w:color="auto" w:sz="8" w:space="0"/>
                    <w:bottom w:val="single" w:color="000000" w:sz="8" w:space="0"/>
                    <w:right w:val="single" w:color="auto" w:sz="8" w:space="0"/>
                  </w:tcBorders>
                  <w:shd w:val="clear" w:color="auto" w:fill="auto"/>
                  <w:noWrap w:val="0"/>
                  <w:vAlign w:val="center"/>
                </w:tcPr>
                <w:p>
                  <w:pPr>
                    <w:widowControl/>
                    <w:rPr>
                      <w:rFonts w:hint="eastAsia" w:ascii="宋体" w:hAnsi="宋体" w:cs="Arial"/>
                      <w:kern w:val="0"/>
                      <w:szCs w:val="21"/>
                    </w:rPr>
                  </w:pPr>
                  <w:r>
                    <w:rPr>
                      <w:rFonts w:hint="eastAsia" w:ascii="宋体" w:hAnsi="宋体" w:cs="Arial"/>
                      <w:kern w:val="0"/>
                      <w:szCs w:val="21"/>
                    </w:rPr>
                    <w:t>包装标识是否完整</w:t>
                  </w:r>
                </w:p>
              </w:tc>
              <w:tc>
                <w:tcPr>
                  <w:tcW w:w="479" w:type="pct"/>
                  <w:tcBorders>
                    <w:top w:val="nil"/>
                    <w:left w:val="single" w:color="auto" w:sz="8" w:space="0"/>
                    <w:bottom w:val="single" w:color="000000" w:sz="8" w:space="0"/>
                    <w:right w:val="single" w:color="auto" w:sz="8" w:space="0"/>
                  </w:tcBorders>
                  <w:shd w:val="clear" w:color="auto" w:fill="auto"/>
                  <w:noWrap w:val="0"/>
                  <w:vAlign w:val="center"/>
                </w:tcPr>
                <w:p>
                  <w:pPr>
                    <w:widowControl/>
                    <w:rPr>
                      <w:rFonts w:hint="eastAsia" w:ascii="宋体" w:hAnsi="宋体" w:cs="Arial"/>
                      <w:kern w:val="0"/>
                      <w:szCs w:val="21"/>
                    </w:rPr>
                  </w:pPr>
                  <w:r>
                    <w:rPr>
                      <w:rFonts w:hint="eastAsia" w:ascii="宋体" w:hAnsi="宋体" w:cs="Arial"/>
                      <w:kern w:val="0"/>
                      <w:szCs w:val="21"/>
                    </w:rPr>
                    <w:t>随行文件资料是否完整</w:t>
                  </w:r>
                </w:p>
              </w:tc>
              <w:tc>
                <w:tcPr>
                  <w:tcW w:w="301" w:type="pct"/>
                  <w:tcBorders>
                    <w:top w:val="nil"/>
                    <w:left w:val="single" w:color="auto" w:sz="8" w:space="0"/>
                    <w:bottom w:val="single" w:color="000000" w:sz="8" w:space="0"/>
                    <w:right w:val="single" w:color="auto" w:sz="8" w:space="0"/>
                  </w:tcBorders>
                  <w:shd w:val="clear" w:color="auto" w:fill="auto"/>
                  <w:noWrap w:val="0"/>
                  <w:vAlign w:val="center"/>
                </w:tcPr>
                <w:p>
                  <w:pPr>
                    <w:widowControl/>
                    <w:rPr>
                      <w:rFonts w:hint="eastAsia" w:ascii="宋体" w:hAnsi="宋体" w:cs="Arial"/>
                      <w:kern w:val="0"/>
                      <w:szCs w:val="21"/>
                    </w:rPr>
                  </w:pPr>
                  <w:r>
                    <w:rPr>
                      <w:rFonts w:hint="eastAsia" w:ascii="宋体" w:hAnsi="宋体" w:cs="Arial"/>
                      <w:kern w:val="0"/>
                      <w:szCs w:val="21"/>
                    </w:rPr>
                    <w:t>结论</w:t>
                  </w:r>
                </w:p>
              </w:tc>
              <w:tc>
                <w:tcPr>
                  <w:tcW w:w="449" w:type="pct"/>
                  <w:tcBorders>
                    <w:top w:val="nil"/>
                    <w:left w:val="nil"/>
                    <w:right w:val="single" w:color="auto" w:sz="8" w:space="0"/>
                  </w:tcBorders>
                  <w:shd w:val="clear" w:color="auto" w:fill="auto"/>
                  <w:noWrap w:val="0"/>
                  <w:vAlign w:val="center"/>
                </w:tcPr>
                <w:p>
                  <w:pPr>
                    <w:widowControl/>
                    <w:rPr>
                      <w:rFonts w:hint="eastAsia" w:ascii="宋体" w:hAnsi="宋体" w:cs="Arial"/>
                      <w:kern w:val="0"/>
                      <w:szCs w:val="21"/>
                    </w:rPr>
                  </w:pPr>
                  <w:r>
                    <w:rPr>
                      <w:rFonts w:hint="eastAsia" w:ascii="宋体" w:hAnsi="宋体" w:cs="Arial"/>
                      <w:kern w:val="0"/>
                      <w:szCs w:val="21"/>
                    </w:rPr>
                    <w:t>验收人</w:t>
                  </w:r>
                </w:p>
                <w:p>
                  <w:pPr>
                    <w:widowControl/>
                    <w:rPr>
                      <w:rFonts w:hint="eastAsia" w:ascii="宋体" w:hAnsi="宋体" w:cs="Arial"/>
                      <w:kern w:val="0"/>
                      <w:szCs w:val="21"/>
                    </w:rPr>
                  </w:pPr>
                  <w:r>
                    <w:rPr>
                      <w:rFonts w:hint="eastAsia" w:ascii="宋体" w:hAnsi="宋体" w:cs="Arial"/>
                      <w:kern w:val="0"/>
                      <w:szCs w:val="21"/>
                    </w:rPr>
                    <w:t>/日期</w:t>
                  </w:r>
                </w:p>
              </w:tc>
            </w:tr>
            <w:tr>
              <w:tblPrEx>
                <w:shd w:val="clear" w:color="auto" w:fill="auto"/>
                <w:tblCellMar>
                  <w:top w:w="0" w:type="dxa"/>
                  <w:left w:w="108" w:type="dxa"/>
                  <w:bottom w:w="0" w:type="dxa"/>
                  <w:right w:w="108" w:type="dxa"/>
                </w:tblCellMar>
              </w:tblPrEx>
              <w:trPr>
                <w:trHeight w:val="870" w:hRule="atLeast"/>
              </w:trPr>
              <w:tc>
                <w:tcPr>
                  <w:tcW w:w="383" w:type="pct"/>
                  <w:tcBorders>
                    <w:top w:val="nil"/>
                    <w:left w:val="single" w:color="auto" w:sz="8" w:space="0"/>
                    <w:bottom w:val="single" w:color="auto" w:sz="4" w:space="0"/>
                    <w:right w:val="single" w:color="auto" w:sz="8" w:space="0"/>
                  </w:tcBorders>
                  <w:shd w:val="clear" w:color="auto" w:fill="auto"/>
                  <w:noWrap w:val="0"/>
                  <w:vAlign w:val="center"/>
                </w:tcPr>
                <w:p>
                  <w:pPr>
                    <w:widowControl/>
                    <w:rPr>
                      <w:rFonts w:hint="default" w:ascii="宋体" w:hAnsi="宋体" w:eastAsia="宋体" w:cs="Arial"/>
                      <w:kern w:val="0"/>
                      <w:szCs w:val="21"/>
                      <w:lang w:val="en-US" w:eastAsia="zh-CN"/>
                    </w:rPr>
                  </w:pPr>
                  <w:r>
                    <w:rPr>
                      <w:rFonts w:hint="eastAsia" w:ascii="宋体" w:hAnsi="宋体" w:cs="Arial"/>
                      <w:kern w:val="0"/>
                      <w:szCs w:val="21"/>
                    </w:rPr>
                    <w:t>2020</w:t>
                  </w:r>
                  <w:r>
                    <w:rPr>
                      <w:rFonts w:hint="eastAsia" w:ascii="宋体" w:hAnsi="宋体" w:cs="Arial"/>
                      <w:kern w:val="0"/>
                      <w:szCs w:val="21"/>
                      <w:lang w:eastAsia="zh-CN"/>
                    </w:rPr>
                    <w:t>.</w:t>
                  </w:r>
                  <w:r>
                    <w:rPr>
                      <w:rFonts w:hint="eastAsia" w:ascii="宋体" w:hAnsi="宋体" w:cs="Arial"/>
                      <w:kern w:val="0"/>
                      <w:szCs w:val="21"/>
                    </w:rPr>
                    <w:t>7</w:t>
                  </w:r>
                  <w:r>
                    <w:rPr>
                      <w:rFonts w:hint="eastAsia" w:ascii="宋体" w:hAnsi="宋体" w:cs="Arial"/>
                      <w:kern w:val="0"/>
                      <w:szCs w:val="21"/>
                      <w:lang w:eastAsia="zh-CN"/>
                    </w:rPr>
                    <w:t>.</w:t>
                  </w:r>
                  <w:r>
                    <w:rPr>
                      <w:rFonts w:hint="eastAsia" w:ascii="宋体" w:hAnsi="宋体" w:cs="Arial"/>
                      <w:kern w:val="0"/>
                      <w:szCs w:val="21"/>
                    </w:rPr>
                    <w:t>21</w:t>
                  </w:r>
                </w:p>
              </w:tc>
              <w:tc>
                <w:tcPr>
                  <w:tcW w:w="440" w:type="pct"/>
                  <w:tcBorders>
                    <w:top w:val="nil"/>
                    <w:left w:val="nil"/>
                    <w:bottom w:val="single" w:color="auto" w:sz="4" w:space="0"/>
                    <w:right w:val="single" w:color="auto" w:sz="8" w:space="0"/>
                  </w:tcBorders>
                  <w:shd w:val="clear" w:color="auto" w:fill="auto"/>
                  <w:noWrap w:val="0"/>
                  <w:vAlign w:val="center"/>
                </w:tcPr>
                <w:p>
                  <w:pPr>
                    <w:widowControl/>
                    <w:jc w:val="center"/>
                    <w:rPr>
                      <w:rFonts w:hint="default" w:ascii="宋体" w:hAnsi="宋体" w:eastAsia="宋体" w:cs="Arial"/>
                      <w:kern w:val="0"/>
                      <w:szCs w:val="21"/>
                      <w:lang w:val="en-US" w:eastAsia="zh-CN"/>
                    </w:rPr>
                  </w:pPr>
                  <w:r>
                    <w:rPr>
                      <w:rFonts w:hint="eastAsia" w:ascii="宋体" w:hAnsi="宋体" w:cs="Arial"/>
                      <w:kern w:val="0"/>
                      <w:szCs w:val="21"/>
                      <w:lang w:eastAsia="zh-CN"/>
                    </w:rPr>
                    <w:t> LI-1942墓体</w:t>
                  </w:r>
                </w:p>
              </w:tc>
              <w:tc>
                <w:tcPr>
                  <w:tcW w:w="795" w:type="pct"/>
                  <w:tcBorders>
                    <w:top w:val="nil"/>
                    <w:left w:val="nil"/>
                    <w:bottom w:val="single" w:color="auto" w:sz="4" w:space="0"/>
                    <w:right w:val="single" w:color="auto" w:sz="8" w:space="0"/>
                  </w:tcBorders>
                  <w:shd w:val="clear" w:color="auto" w:fill="auto"/>
                  <w:noWrap w:val="0"/>
                  <w:vAlign w:val="center"/>
                </w:tcPr>
                <w:p>
                  <w:pPr>
                    <w:widowControl/>
                    <w:jc w:val="center"/>
                    <w:rPr>
                      <w:rFonts w:hint="default" w:ascii="宋体" w:hAnsi="宋体" w:eastAsia="宋体" w:cs="Arial"/>
                      <w:kern w:val="0"/>
                      <w:szCs w:val="21"/>
                      <w:lang w:val="en-US" w:eastAsia="zh-CN"/>
                    </w:rPr>
                  </w:pPr>
                  <w:r>
                    <w:rPr>
                      <w:rFonts w:hint="eastAsia" w:ascii="宋体" w:hAnsi="宋体" w:cs="Arial"/>
                      <w:kern w:val="0"/>
                      <w:szCs w:val="21"/>
                      <w:lang w:val="en-US" w:eastAsia="zh-CN"/>
                    </w:rPr>
                    <w:t>材质山西黑654，35套</w:t>
                  </w:r>
                </w:p>
              </w:tc>
              <w:tc>
                <w:tcPr>
                  <w:tcW w:w="1021" w:type="pct"/>
                  <w:tcBorders>
                    <w:top w:val="nil"/>
                    <w:left w:val="nil"/>
                    <w:bottom w:val="single" w:color="auto" w:sz="4" w:space="0"/>
                    <w:right w:val="single" w:color="auto" w:sz="8" w:space="0"/>
                  </w:tcBorders>
                  <w:shd w:val="clear" w:color="auto" w:fill="auto"/>
                  <w:noWrap w:val="0"/>
                  <w:vAlign w:val="center"/>
                </w:tcPr>
                <w:p>
                  <w:pPr>
                    <w:widowControl/>
                    <w:jc w:val="center"/>
                    <w:rPr>
                      <w:rFonts w:hint="default" w:ascii="宋体" w:hAnsi="宋体" w:eastAsia="宋体" w:cs="Arial"/>
                      <w:kern w:val="0"/>
                      <w:szCs w:val="21"/>
                      <w:lang w:val="en-US" w:eastAsia="zh-CN"/>
                    </w:rPr>
                  </w:pPr>
                  <w:r>
                    <w:rPr>
                      <w:rFonts w:hint="eastAsia" w:ascii="宋体" w:hAnsi="宋体" w:cs="Arial"/>
                      <w:kern w:val="0"/>
                      <w:szCs w:val="21"/>
                      <w:lang w:eastAsia="zh-CN"/>
                    </w:rPr>
                    <w:t>福建省惠安县华新出进出口有限公司</w:t>
                  </w:r>
                </w:p>
              </w:tc>
              <w:tc>
                <w:tcPr>
                  <w:tcW w:w="269" w:type="pct"/>
                  <w:tcBorders>
                    <w:top w:val="single" w:color="auto" w:sz="4" w:space="0"/>
                    <w:left w:val="nil"/>
                    <w:bottom w:val="single" w:color="auto" w:sz="4" w:space="0"/>
                    <w:right w:val="single" w:color="auto" w:sz="8" w:space="0"/>
                  </w:tcBorders>
                  <w:shd w:val="clear" w:color="auto" w:fill="auto"/>
                  <w:noWrap w:val="0"/>
                  <w:vAlign w:val="center"/>
                </w:tcPr>
                <w:p>
                  <w:pPr>
                    <w:widowControl/>
                    <w:jc w:val="center"/>
                    <w:rPr>
                      <w:rFonts w:hint="default" w:ascii="宋体" w:hAnsi="宋体" w:eastAsia="宋体" w:cs="Arial"/>
                      <w:color w:val="auto"/>
                      <w:kern w:val="0"/>
                      <w:szCs w:val="21"/>
                      <w:lang w:val="en-US" w:eastAsia="zh-CN"/>
                    </w:rPr>
                  </w:pPr>
                  <w:r>
                    <w:rPr>
                      <w:rFonts w:hint="eastAsia" w:ascii="宋体" w:hAnsi="宋体" w:cs="Arial"/>
                      <w:kern w:val="0"/>
                      <w:szCs w:val="21"/>
                    </w:rPr>
                    <w:t>√</w:t>
                  </w:r>
                </w:p>
              </w:tc>
              <w:tc>
                <w:tcPr>
                  <w:tcW w:w="274" w:type="pct"/>
                  <w:tcBorders>
                    <w:top w:val="nil"/>
                    <w:left w:val="nil"/>
                    <w:bottom w:val="single" w:color="auto" w:sz="4" w:space="0"/>
                    <w:right w:val="single" w:color="auto" w:sz="8" w:space="0"/>
                  </w:tcBorders>
                  <w:shd w:val="clear" w:color="auto" w:fill="auto"/>
                  <w:noWrap w:val="0"/>
                  <w:vAlign w:val="center"/>
                </w:tcPr>
                <w:p>
                  <w:pPr>
                    <w:jc w:val="center"/>
                  </w:pPr>
                  <w:r>
                    <w:rPr>
                      <w:rFonts w:hint="eastAsia" w:ascii="宋体" w:hAnsi="宋体" w:cs="Arial"/>
                      <w:kern w:val="0"/>
                      <w:szCs w:val="21"/>
                    </w:rPr>
                    <w:t>√</w:t>
                  </w:r>
                </w:p>
              </w:tc>
              <w:tc>
                <w:tcPr>
                  <w:tcW w:w="278" w:type="pct"/>
                  <w:tcBorders>
                    <w:top w:val="nil"/>
                    <w:left w:val="nil"/>
                    <w:bottom w:val="single" w:color="auto" w:sz="4" w:space="0"/>
                    <w:right w:val="single" w:color="auto" w:sz="8" w:space="0"/>
                  </w:tcBorders>
                  <w:shd w:val="clear" w:color="auto" w:fill="auto"/>
                  <w:noWrap w:val="0"/>
                  <w:vAlign w:val="center"/>
                </w:tcPr>
                <w:p>
                  <w:pPr>
                    <w:jc w:val="center"/>
                  </w:pPr>
                  <w:r>
                    <w:rPr>
                      <w:rFonts w:hint="eastAsia" w:ascii="宋体" w:hAnsi="宋体" w:cs="Arial"/>
                      <w:kern w:val="0"/>
                      <w:szCs w:val="21"/>
                    </w:rPr>
                    <w:t>√</w:t>
                  </w:r>
                </w:p>
              </w:tc>
              <w:tc>
                <w:tcPr>
                  <w:tcW w:w="307" w:type="pct"/>
                  <w:tcBorders>
                    <w:top w:val="nil"/>
                    <w:left w:val="nil"/>
                    <w:bottom w:val="single" w:color="auto" w:sz="4" w:space="0"/>
                    <w:right w:val="single" w:color="auto" w:sz="8" w:space="0"/>
                  </w:tcBorders>
                  <w:shd w:val="clear" w:color="auto" w:fill="auto"/>
                  <w:noWrap w:val="0"/>
                  <w:vAlign w:val="center"/>
                </w:tcPr>
                <w:p>
                  <w:pPr>
                    <w:jc w:val="center"/>
                  </w:pPr>
                  <w:r>
                    <w:rPr>
                      <w:rFonts w:hint="eastAsia" w:ascii="宋体" w:hAnsi="宋体" w:cs="Arial"/>
                      <w:kern w:val="0"/>
                      <w:szCs w:val="21"/>
                    </w:rPr>
                    <w:t>√</w:t>
                  </w:r>
                </w:p>
              </w:tc>
              <w:tc>
                <w:tcPr>
                  <w:tcW w:w="479" w:type="pct"/>
                  <w:tcBorders>
                    <w:top w:val="nil"/>
                    <w:left w:val="nil"/>
                    <w:bottom w:val="single" w:color="auto" w:sz="4" w:space="0"/>
                    <w:right w:val="single" w:color="auto" w:sz="8" w:space="0"/>
                  </w:tcBorders>
                  <w:shd w:val="clear" w:color="auto" w:fill="auto"/>
                  <w:noWrap w:val="0"/>
                  <w:vAlign w:val="center"/>
                </w:tcPr>
                <w:p>
                  <w:pPr>
                    <w:widowControl/>
                    <w:rPr>
                      <w:rFonts w:ascii="宋体" w:hAnsi="宋体" w:cs="Arial"/>
                      <w:kern w:val="0"/>
                      <w:szCs w:val="21"/>
                    </w:rPr>
                  </w:pPr>
                  <w:r>
                    <w:rPr>
                      <w:rFonts w:hint="eastAsia" w:ascii="宋体" w:hAnsi="宋体" w:cs="Arial"/>
                      <w:kern w:val="0"/>
                      <w:szCs w:val="21"/>
                    </w:rPr>
                    <w:t>√</w:t>
                  </w:r>
                </w:p>
              </w:tc>
              <w:tc>
                <w:tcPr>
                  <w:tcW w:w="301" w:type="pct"/>
                  <w:tcBorders>
                    <w:top w:val="nil"/>
                    <w:left w:val="nil"/>
                    <w:bottom w:val="single" w:color="auto" w:sz="4" w:space="0"/>
                    <w:right w:val="single" w:color="auto" w:sz="8" w:space="0"/>
                  </w:tcBorders>
                  <w:shd w:val="clear" w:color="auto" w:fill="auto"/>
                  <w:noWrap w:val="0"/>
                  <w:vAlign w:val="center"/>
                </w:tcPr>
                <w:p>
                  <w:pPr>
                    <w:widowControl/>
                    <w:rPr>
                      <w:rFonts w:hint="eastAsia" w:ascii="宋体" w:hAnsi="宋体" w:eastAsia="宋体" w:cs="Arial"/>
                      <w:kern w:val="0"/>
                      <w:szCs w:val="21"/>
                      <w:lang w:val="en-US" w:eastAsia="zh-CN"/>
                    </w:rPr>
                  </w:pPr>
                  <w:r>
                    <w:rPr>
                      <w:rFonts w:hint="eastAsia" w:ascii="宋体" w:hAnsi="宋体" w:cs="Arial"/>
                      <w:kern w:val="0"/>
                      <w:szCs w:val="21"/>
                      <w:lang w:val="en-US" w:eastAsia="zh-CN"/>
                    </w:rPr>
                    <w:t>合格</w:t>
                  </w:r>
                </w:p>
              </w:tc>
              <w:tc>
                <w:tcPr>
                  <w:tcW w:w="449" w:type="pct"/>
                  <w:tcBorders>
                    <w:top w:val="nil"/>
                    <w:left w:val="nil"/>
                    <w:bottom w:val="single" w:color="auto" w:sz="4" w:space="0"/>
                    <w:right w:val="single" w:color="auto" w:sz="8" w:space="0"/>
                  </w:tcBorders>
                  <w:shd w:val="clear" w:color="auto" w:fill="auto"/>
                  <w:noWrap w:val="0"/>
                  <w:vAlign w:val="center"/>
                </w:tcPr>
                <w:p>
                  <w:pPr>
                    <w:widowControl/>
                    <w:jc w:val="center"/>
                    <w:rPr>
                      <w:rFonts w:hint="eastAsia" w:ascii="宋体" w:hAnsi="宋体" w:eastAsia="宋体" w:cs="Arial"/>
                      <w:kern w:val="0"/>
                      <w:szCs w:val="21"/>
                      <w:lang w:val="en-US" w:eastAsia="zh-CN"/>
                    </w:rPr>
                  </w:pPr>
                  <w:r>
                    <w:rPr>
                      <w:rFonts w:hint="eastAsia" w:ascii="宋体" w:hAnsi="宋体" w:cs="Arial"/>
                      <w:kern w:val="0"/>
                      <w:szCs w:val="21"/>
                      <w:lang w:val="en-US" w:eastAsia="zh-CN"/>
                    </w:rPr>
                    <w:t>林森泉</w:t>
                  </w:r>
                </w:p>
              </w:tc>
            </w:tr>
            <w:tr>
              <w:tblPrEx>
                <w:shd w:val="clear" w:color="auto" w:fill="auto"/>
              </w:tblPrEx>
              <w:trPr>
                <w:trHeight w:val="870" w:hRule="atLeast"/>
              </w:trPr>
              <w:tc>
                <w:tcPr>
                  <w:tcW w:w="38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hint="default" w:ascii="宋体" w:hAnsi="宋体" w:eastAsia="宋体" w:cs="Arial"/>
                      <w:kern w:val="0"/>
                      <w:szCs w:val="21"/>
                      <w:lang w:val="en-US" w:eastAsia="zh-CN"/>
                    </w:rPr>
                  </w:pPr>
                  <w:r>
                    <w:rPr>
                      <w:rFonts w:hint="eastAsia" w:ascii="宋体" w:hAnsi="宋体" w:cs="Arial"/>
                      <w:kern w:val="0"/>
                      <w:szCs w:val="21"/>
                    </w:rPr>
                    <w:t>2020</w:t>
                  </w:r>
                  <w:r>
                    <w:rPr>
                      <w:rFonts w:hint="eastAsia" w:ascii="宋体" w:hAnsi="宋体" w:cs="Arial"/>
                      <w:kern w:val="0"/>
                      <w:szCs w:val="21"/>
                      <w:lang w:eastAsia="zh-CN"/>
                    </w:rPr>
                    <w:t>.</w:t>
                  </w:r>
                  <w:r>
                    <w:rPr>
                      <w:rFonts w:hint="eastAsia" w:ascii="宋体" w:hAnsi="宋体" w:cs="Arial"/>
                      <w:kern w:val="0"/>
                      <w:szCs w:val="21"/>
                    </w:rPr>
                    <w:t>8</w:t>
                  </w:r>
                  <w:r>
                    <w:rPr>
                      <w:rFonts w:hint="eastAsia" w:ascii="宋体" w:hAnsi="宋体" w:cs="Arial"/>
                      <w:kern w:val="0"/>
                      <w:szCs w:val="21"/>
                      <w:lang w:eastAsia="zh-CN"/>
                    </w:rPr>
                    <w:t>.</w:t>
                  </w:r>
                  <w:r>
                    <w:rPr>
                      <w:rFonts w:hint="eastAsia" w:ascii="宋体" w:hAnsi="宋体" w:cs="Arial"/>
                      <w:kern w:val="0"/>
                      <w:szCs w:val="21"/>
                    </w:rPr>
                    <w:t>11</w:t>
                  </w:r>
                </w:p>
              </w:tc>
              <w:tc>
                <w:tcPr>
                  <w:tcW w:w="44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宋体" w:hAnsi="宋体" w:eastAsia="宋体" w:cs="Arial"/>
                      <w:kern w:val="0"/>
                      <w:szCs w:val="21"/>
                      <w:lang w:val="en-US" w:eastAsia="zh-CN"/>
                    </w:rPr>
                  </w:pPr>
                  <w:r>
                    <w:rPr>
                      <w:rFonts w:hint="eastAsia" w:ascii="宋体" w:hAnsi="宋体" w:eastAsia="宋体" w:cs="Arial"/>
                      <w:kern w:val="0"/>
                      <w:szCs w:val="21"/>
                      <w:lang w:val="en-US" w:eastAsia="zh-CN"/>
                    </w:rPr>
                    <w:t>YH906#</w:t>
                  </w:r>
                </w:p>
              </w:tc>
              <w:tc>
                <w:tcPr>
                  <w:tcW w:w="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Cs w:val="21"/>
                    </w:rPr>
                  </w:pPr>
                  <w:r>
                    <w:rPr>
                      <w:rFonts w:hint="eastAsia" w:ascii="宋体" w:hAnsi="宋体" w:cs="Arial"/>
                      <w:kern w:val="0"/>
                      <w:szCs w:val="21"/>
                    </w:rPr>
                    <w:t>97x92x260基础石材2.32方</w:t>
                  </w:r>
                </w:p>
              </w:tc>
              <w:tc>
                <w:tcPr>
                  <w:tcW w:w="102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Arial"/>
                      <w:kern w:val="0"/>
                      <w:szCs w:val="21"/>
                      <w:lang w:eastAsia="zh-CN"/>
                    </w:rPr>
                  </w:pPr>
                  <w:r>
                    <w:rPr>
                      <w:rFonts w:hint="eastAsia" w:ascii="宋体" w:hAnsi="宋体" w:cs="Arial"/>
                      <w:kern w:val="0"/>
                      <w:szCs w:val="21"/>
                      <w:lang w:eastAsia="zh-CN"/>
                    </w:rPr>
                    <w:t>厦门励益进出口有限公司</w:t>
                  </w:r>
                </w:p>
              </w:tc>
              <w:tc>
                <w:tcPr>
                  <w:tcW w:w="269"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Arial"/>
                      <w:kern w:val="0"/>
                      <w:szCs w:val="21"/>
                      <w:lang w:eastAsia="zh-CN"/>
                    </w:rPr>
                  </w:pPr>
                  <w:r>
                    <w:rPr>
                      <w:rFonts w:hint="eastAsia" w:ascii="宋体" w:hAnsi="宋体" w:cs="Arial"/>
                      <w:kern w:val="0"/>
                      <w:szCs w:val="21"/>
                    </w:rPr>
                    <w:t>√</w:t>
                  </w:r>
                </w:p>
              </w:tc>
              <w:tc>
                <w:tcPr>
                  <w:tcW w:w="27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rPr>
                      <w:rFonts w:hint="eastAsia" w:ascii="宋体" w:hAnsi="宋体" w:cs="Arial"/>
                      <w:kern w:val="0"/>
                      <w:szCs w:val="21"/>
                    </w:rPr>
                    <w:t>√</w:t>
                  </w:r>
                </w:p>
              </w:tc>
              <w:tc>
                <w:tcPr>
                  <w:tcW w:w="27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rPr>
                      <w:rFonts w:hint="eastAsia" w:ascii="宋体" w:hAnsi="宋体" w:cs="Arial"/>
                      <w:kern w:val="0"/>
                      <w:szCs w:val="21"/>
                    </w:rPr>
                    <w:t>√</w:t>
                  </w:r>
                </w:p>
              </w:tc>
              <w:tc>
                <w:tcPr>
                  <w:tcW w:w="30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rPr>
                      <w:rFonts w:hint="eastAsia" w:ascii="宋体" w:hAnsi="宋体" w:cs="Arial"/>
                      <w:kern w:val="0"/>
                      <w:szCs w:val="21"/>
                    </w:rPr>
                    <w:t>√</w:t>
                  </w:r>
                </w:p>
              </w:tc>
              <w:tc>
                <w:tcPr>
                  <w:tcW w:w="479"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Cs w:val="21"/>
                    </w:rPr>
                  </w:pPr>
                  <w:r>
                    <w:rPr>
                      <w:rFonts w:hint="eastAsia" w:ascii="宋体" w:hAnsi="宋体" w:cs="Arial"/>
                      <w:kern w:val="0"/>
                      <w:szCs w:val="21"/>
                    </w:rPr>
                    <w:t>√</w:t>
                  </w:r>
                </w:p>
              </w:tc>
              <w:tc>
                <w:tcPr>
                  <w:tcW w:w="30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Cs w:val="21"/>
                    </w:rPr>
                  </w:pPr>
                  <w:r>
                    <w:rPr>
                      <w:rFonts w:hint="eastAsia" w:ascii="宋体" w:hAnsi="宋体" w:cs="Arial"/>
                      <w:kern w:val="0"/>
                      <w:szCs w:val="21"/>
                      <w:lang w:val="en-US" w:eastAsia="zh-CN"/>
                    </w:rPr>
                    <w:t>合格</w:t>
                  </w:r>
                </w:p>
              </w:tc>
              <w:tc>
                <w:tcPr>
                  <w:tcW w:w="449"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Cs w:val="21"/>
                    </w:rPr>
                  </w:pPr>
                  <w:r>
                    <w:rPr>
                      <w:rFonts w:hint="eastAsia" w:ascii="宋体" w:hAnsi="宋体" w:cs="Arial"/>
                      <w:kern w:val="0"/>
                      <w:szCs w:val="21"/>
                      <w:lang w:val="en-US" w:eastAsia="zh-CN"/>
                    </w:rPr>
                    <w:t>林森泉</w:t>
                  </w:r>
                </w:p>
              </w:tc>
            </w:tr>
            <w:tr>
              <w:tblPrEx>
                <w:shd w:val="clear" w:color="auto" w:fill="auto"/>
                <w:tblCellMar>
                  <w:top w:w="0" w:type="dxa"/>
                  <w:left w:w="108" w:type="dxa"/>
                  <w:bottom w:w="0" w:type="dxa"/>
                  <w:right w:w="108" w:type="dxa"/>
                </w:tblCellMar>
              </w:tblPrEx>
              <w:trPr>
                <w:trHeight w:val="870" w:hRule="atLeast"/>
              </w:trPr>
              <w:tc>
                <w:tcPr>
                  <w:tcW w:w="383" w:type="pct"/>
                  <w:tcBorders>
                    <w:top w:val="single" w:color="auto" w:sz="4" w:space="0"/>
                    <w:left w:val="single" w:color="auto" w:sz="8" w:space="0"/>
                    <w:bottom w:val="single" w:color="auto" w:sz="4" w:space="0"/>
                    <w:right w:val="single" w:color="auto" w:sz="8" w:space="0"/>
                  </w:tcBorders>
                  <w:shd w:val="clear" w:color="auto" w:fill="auto"/>
                  <w:noWrap w:val="0"/>
                  <w:vAlign w:val="center"/>
                </w:tcPr>
                <w:p>
                  <w:pPr>
                    <w:widowControl/>
                    <w:rPr>
                      <w:rFonts w:hint="eastAsia" w:ascii="宋体" w:hAnsi="宋体" w:cs="Arial"/>
                      <w:kern w:val="0"/>
                      <w:szCs w:val="21"/>
                    </w:rPr>
                  </w:pPr>
                  <w:r>
                    <w:rPr>
                      <w:rFonts w:hint="eastAsia" w:ascii="宋体" w:hAnsi="宋体" w:cs="Arial"/>
                      <w:kern w:val="0"/>
                      <w:szCs w:val="21"/>
                    </w:rPr>
                    <w:t>2020</w:t>
                  </w:r>
                  <w:r>
                    <w:rPr>
                      <w:rFonts w:hint="eastAsia" w:ascii="宋体" w:hAnsi="宋体" w:cs="Arial"/>
                      <w:kern w:val="0"/>
                      <w:szCs w:val="21"/>
                      <w:lang w:eastAsia="zh-CN"/>
                    </w:rPr>
                    <w:t>.</w:t>
                  </w:r>
                  <w:r>
                    <w:rPr>
                      <w:rFonts w:hint="eastAsia" w:ascii="宋体" w:hAnsi="宋体" w:cs="Arial"/>
                      <w:kern w:val="0"/>
                      <w:szCs w:val="21"/>
                    </w:rPr>
                    <w:t>8</w:t>
                  </w:r>
                  <w:r>
                    <w:rPr>
                      <w:rFonts w:hint="eastAsia" w:ascii="宋体" w:hAnsi="宋体" w:cs="Arial"/>
                      <w:kern w:val="0"/>
                      <w:szCs w:val="21"/>
                      <w:lang w:eastAsia="zh-CN"/>
                    </w:rPr>
                    <w:t>.</w:t>
                  </w:r>
                  <w:r>
                    <w:rPr>
                      <w:rFonts w:hint="eastAsia" w:ascii="宋体" w:hAnsi="宋体" w:cs="Arial"/>
                      <w:kern w:val="0"/>
                      <w:szCs w:val="21"/>
                    </w:rPr>
                    <w:t>11</w:t>
                  </w:r>
                </w:p>
              </w:tc>
              <w:tc>
                <w:tcPr>
                  <w:tcW w:w="440" w:type="pct"/>
                  <w:tcBorders>
                    <w:top w:val="single" w:color="auto" w:sz="4" w:space="0"/>
                    <w:left w:val="nil"/>
                    <w:bottom w:val="single" w:color="auto" w:sz="4" w:space="0"/>
                    <w:right w:val="single" w:color="auto" w:sz="8" w:space="0"/>
                  </w:tcBorders>
                  <w:shd w:val="clear" w:color="auto" w:fill="auto"/>
                  <w:noWrap w:val="0"/>
                  <w:vAlign w:val="center"/>
                </w:tcPr>
                <w:p>
                  <w:pPr>
                    <w:widowControl/>
                    <w:jc w:val="center"/>
                    <w:rPr>
                      <w:rFonts w:hint="eastAsia" w:ascii="宋体" w:hAnsi="宋体" w:cs="Arial"/>
                      <w:kern w:val="0"/>
                      <w:szCs w:val="21"/>
                      <w:lang w:eastAsia="zh-CN"/>
                    </w:rPr>
                  </w:pPr>
                  <w:r>
                    <w:rPr>
                      <w:rFonts w:hint="eastAsia" w:ascii="宋体" w:hAnsi="宋体" w:cs="Arial"/>
                      <w:kern w:val="0"/>
                      <w:szCs w:val="21"/>
                      <w:lang w:eastAsia="zh-CN"/>
                    </w:rPr>
                    <w:t>YH961#</w:t>
                  </w:r>
                </w:p>
              </w:tc>
              <w:tc>
                <w:tcPr>
                  <w:tcW w:w="795" w:type="pct"/>
                  <w:tcBorders>
                    <w:top w:val="single" w:color="auto" w:sz="4" w:space="0"/>
                    <w:left w:val="nil"/>
                    <w:bottom w:val="single" w:color="auto" w:sz="4" w:space="0"/>
                    <w:right w:val="single" w:color="auto" w:sz="8" w:space="0"/>
                  </w:tcBorders>
                  <w:shd w:val="clear" w:color="auto" w:fill="auto"/>
                  <w:noWrap w:val="0"/>
                  <w:vAlign w:val="center"/>
                </w:tcPr>
                <w:p>
                  <w:pPr>
                    <w:widowControl/>
                    <w:jc w:val="center"/>
                    <w:rPr>
                      <w:rFonts w:hint="eastAsia" w:ascii="宋体" w:hAnsi="宋体" w:cs="Arial"/>
                      <w:kern w:val="0"/>
                      <w:szCs w:val="21"/>
                      <w:lang w:val="en-US" w:eastAsia="zh-CN"/>
                    </w:rPr>
                  </w:pPr>
                  <w:r>
                    <w:rPr>
                      <w:rFonts w:hint="eastAsia" w:ascii="宋体" w:hAnsi="宋体" w:cs="Arial"/>
                      <w:kern w:val="0"/>
                      <w:szCs w:val="21"/>
                      <w:lang w:val="en-US" w:eastAsia="zh-CN"/>
                    </w:rPr>
                    <w:t>102x73x140基础石材1.042方</w:t>
                  </w:r>
                </w:p>
              </w:tc>
              <w:tc>
                <w:tcPr>
                  <w:tcW w:w="1021" w:type="pct"/>
                  <w:tcBorders>
                    <w:top w:val="single" w:color="auto" w:sz="4" w:space="0"/>
                    <w:left w:val="nil"/>
                    <w:bottom w:val="single" w:color="auto" w:sz="4" w:space="0"/>
                    <w:right w:val="single" w:color="auto" w:sz="8" w:space="0"/>
                  </w:tcBorders>
                  <w:shd w:val="clear" w:color="auto" w:fill="auto"/>
                  <w:noWrap w:val="0"/>
                  <w:vAlign w:val="center"/>
                </w:tcPr>
                <w:p>
                  <w:pPr>
                    <w:widowControl/>
                    <w:jc w:val="center"/>
                    <w:rPr>
                      <w:rFonts w:hint="eastAsia" w:ascii="宋体" w:hAnsi="宋体" w:eastAsia="宋体" w:cs="Arial"/>
                      <w:kern w:val="0"/>
                      <w:sz w:val="21"/>
                      <w:szCs w:val="21"/>
                      <w:lang w:val="en-US" w:eastAsia="zh-CN" w:bidi="ar-SA"/>
                    </w:rPr>
                  </w:pPr>
                  <w:r>
                    <w:rPr>
                      <w:rFonts w:hint="eastAsia" w:ascii="宋体" w:hAnsi="宋体" w:cs="Arial"/>
                      <w:kern w:val="0"/>
                      <w:szCs w:val="21"/>
                      <w:lang w:eastAsia="zh-CN"/>
                    </w:rPr>
                    <w:t>厦门励益进出口有限公司</w:t>
                  </w:r>
                </w:p>
              </w:tc>
              <w:tc>
                <w:tcPr>
                  <w:tcW w:w="269" w:type="pct"/>
                  <w:tcBorders>
                    <w:top w:val="single" w:color="auto" w:sz="4" w:space="0"/>
                    <w:left w:val="nil"/>
                    <w:bottom w:val="single" w:color="auto" w:sz="4" w:space="0"/>
                    <w:right w:val="single" w:color="auto" w:sz="8" w:space="0"/>
                  </w:tcBorders>
                  <w:shd w:val="clear" w:color="auto" w:fill="auto"/>
                  <w:noWrap w:val="0"/>
                  <w:vAlign w:val="center"/>
                </w:tcPr>
                <w:p>
                  <w:pPr>
                    <w:widowControl/>
                    <w:jc w:val="center"/>
                    <w:rPr>
                      <w:rFonts w:hint="eastAsia" w:ascii="宋体" w:hAnsi="宋体" w:eastAsia="宋体" w:cs="Arial"/>
                      <w:kern w:val="0"/>
                      <w:sz w:val="21"/>
                      <w:szCs w:val="21"/>
                      <w:lang w:val="en-US" w:eastAsia="zh-CN" w:bidi="ar-SA"/>
                    </w:rPr>
                  </w:pPr>
                  <w:r>
                    <w:rPr>
                      <w:rFonts w:hint="eastAsia" w:ascii="宋体" w:hAnsi="宋体" w:cs="Arial"/>
                      <w:kern w:val="0"/>
                      <w:szCs w:val="21"/>
                    </w:rPr>
                    <w:t>√</w:t>
                  </w:r>
                </w:p>
              </w:tc>
              <w:tc>
                <w:tcPr>
                  <w:tcW w:w="274" w:type="pct"/>
                  <w:tcBorders>
                    <w:top w:val="single" w:color="auto" w:sz="4" w:space="0"/>
                    <w:left w:val="nil"/>
                    <w:bottom w:val="single" w:color="auto" w:sz="4" w:space="0"/>
                    <w:right w:val="single" w:color="auto" w:sz="8" w:space="0"/>
                  </w:tcBorders>
                  <w:shd w:val="clear" w:color="auto" w:fill="auto"/>
                  <w:noWrap w:val="0"/>
                  <w:vAlign w:val="center"/>
                </w:tcPr>
                <w:p>
                  <w:pPr>
                    <w:jc w:val="center"/>
                    <w:rPr>
                      <w:rFonts w:hint="eastAsia"/>
                      <w:kern w:val="2"/>
                      <w:sz w:val="21"/>
                      <w:lang w:val="en-US" w:eastAsia="zh-CN" w:bidi="ar-SA"/>
                    </w:rPr>
                  </w:pPr>
                  <w:r>
                    <w:rPr>
                      <w:rFonts w:hint="eastAsia" w:ascii="宋体" w:hAnsi="宋体" w:cs="Arial"/>
                      <w:kern w:val="0"/>
                      <w:szCs w:val="21"/>
                    </w:rPr>
                    <w:t>√</w:t>
                  </w:r>
                </w:p>
              </w:tc>
              <w:tc>
                <w:tcPr>
                  <w:tcW w:w="278" w:type="pct"/>
                  <w:tcBorders>
                    <w:top w:val="single" w:color="auto" w:sz="4" w:space="0"/>
                    <w:left w:val="nil"/>
                    <w:bottom w:val="single" w:color="auto" w:sz="4" w:space="0"/>
                    <w:right w:val="single" w:color="auto" w:sz="8" w:space="0"/>
                  </w:tcBorders>
                  <w:shd w:val="clear" w:color="auto" w:fill="auto"/>
                  <w:noWrap w:val="0"/>
                  <w:vAlign w:val="center"/>
                </w:tcPr>
                <w:p>
                  <w:pPr>
                    <w:jc w:val="center"/>
                    <w:rPr>
                      <w:rFonts w:hint="eastAsia"/>
                      <w:kern w:val="2"/>
                      <w:sz w:val="21"/>
                      <w:lang w:val="en-US" w:eastAsia="zh-CN" w:bidi="ar-SA"/>
                    </w:rPr>
                  </w:pPr>
                  <w:r>
                    <w:rPr>
                      <w:rFonts w:hint="eastAsia" w:ascii="宋体" w:hAnsi="宋体" w:cs="Arial"/>
                      <w:kern w:val="0"/>
                      <w:szCs w:val="21"/>
                    </w:rPr>
                    <w:t>√</w:t>
                  </w:r>
                </w:p>
              </w:tc>
              <w:tc>
                <w:tcPr>
                  <w:tcW w:w="307" w:type="pct"/>
                  <w:tcBorders>
                    <w:top w:val="single" w:color="auto" w:sz="4" w:space="0"/>
                    <w:left w:val="nil"/>
                    <w:bottom w:val="single" w:color="auto" w:sz="4" w:space="0"/>
                    <w:right w:val="single" w:color="auto" w:sz="8" w:space="0"/>
                  </w:tcBorders>
                  <w:shd w:val="clear" w:color="auto" w:fill="auto"/>
                  <w:noWrap w:val="0"/>
                  <w:vAlign w:val="center"/>
                </w:tcPr>
                <w:p>
                  <w:pPr>
                    <w:jc w:val="center"/>
                    <w:rPr>
                      <w:rFonts w:hint="eastAsia"/>
                      <w:kern w:val="2"/>
                      <w:sz w:val="21"/>
                      <w:lang w:val="en-US" w:eastAsia="zh-CN" w:bidi="ar-SA"/>
                    </w:rPr>
                  </w:pPr>
                  <w:r>
                    <w:rPr>
                      <w:rFonts w:hint="eastAsia" w:ascii="宋体" w:hAnsi="宋体" w:cs="Arial"/>
                      <w:kern w:val="0"/>
                      <w:szCs w:val="21"/>
                    </w:rPr>
                    <w:t>√</w:t>
                  </w:r>
                </w:p>
              </w:tc>
              <w:tc>
                <w:tcPr>
                  <w:tcW w:w="479" w:type="pct"/>
                  <w:tcBorders>
                    <w:top w:val="single" w:color="auto" w:sz="4" w:space="0"/>
                    <w:left w:val="nil"/>
                    <w:bottom w:val="single" w:color="auto" w:sz="4" w:space="0"/>
                    <w:right w:val="single" w:color="auto" w:sz="8" w:space="0"/>
                  </w:tcBorders>
                  <w:shd w:val="clear" w:color="auto" w:fill="auto"/>
                  <w:noWrap w:val="0"/>
                  <w:vAlign w:val="center"/>
                </w:tcPr>
                <w:p>
                  <w:pPr>
                    <w:widowControl/>
                    <w:rPr>
                      <w:rFonts w:hint="eastAsia" w:ascii="宋体" w:hAnsi="宋体" w:cs="Arial"/>
                      <w:kern w:val="0"/>
                      <w:sz w:val="21"/>
                      <w:szCs w:val="21"/>
                      <w:lang w:val="en-US" w:eastAsia="zh-CN" w:bidi="ar-SA"/>
                    </w:rPr>
                  </w:pPr>
                  <w:r>
                    <w:rPr>
                      <w:rFonts w:hint="eastAsia" w:ascii="宋体" w:hAnsi="宋体" w:cs="Arial"/>
                      <w:kern w:val="0"/>
                      <w:szCs w:val="21"/>
                    </w:rPr>
                    <w:t>√</w:t>
                  </w:r>
                </w:p>
              </w:tc>
              <w:tc>
                <w:tcPr>
                  <w:tcW w:w="301" w:type="pct"/>
                  <w:tcBorders>
                    <w:top w:val="single" w:color="auto" w:sz="4" w:space="0"/>
                    <w:left w:val="nil"/>
                    <w:bottom w:val="single" w:color="auto" w:sz="4" w:space="0"/>
                    <w:right w:val="single" w:color="auto" w:sz="8" w:space="0"/>
                  </w:tcBorders>
                  <w:shd w:val="clear" w:color="auto" w:fill="auto"/>
                  <w:noWrap w:val="0"/>
                  <w:vAlign w:val="center"/>
                </w:tcPr>
                <w:p>
                  <w:pPr>
                    <w:widowControl/>
                    <w:jc w:val="center"/>
                    <w:rPr>
                      <w:rFonts w:hint="eastAsia" w:ascii="宋体" w:hAnsi="宋体" w:cs="Arial"/>
                      <w:kern w:val="0"/>
                      <w:sz w:val="21"/>
                      <w:szCs w:val="21"/>
                      <w:lang w:val="en-US" w:eastAsia="zh-CN" w:bidi="ar-SA"/>
                    </w:rPr>
                  </w:pPr>
                  <w:r>
                    <w:rPr>
                      <w:rFonts w:hint="eastAsia" w:ascii="宋体" w:hAnsi="宋体" w:cs="Arial"/>
                      <w:kern w:val="0"/>
                      <w:szCs w:val="21"/>
                      <w:lang w:val="en-US" w:eastAsia="zh-CN"/>
                    </w:rPr>
                    <w:t>合格</w:t>
                  </w:r>
                </w:p>
              </w:tc>
              <w:tc>
                <w:tcPr>
                  <w:tcW w:w="449" w:type="pct"/>
                  <w:tcBorders>
                    <w:top w:val="single" w:color="auto" w:sz="4" w:space="0"/>
                    <w:left w:val="nil"/>
                    <w:bottom w:val="single" w:color="auto" w:sz="4" w:space="0"/>
                    <w:right w:val="single" w:color="auto" w:sz="8" w:space="0"/>
                  </w:tcBorders>
                  <w:shd w:val="clear" w:color="auto" w:fill="auto"/>
                  <w:noWrap w:val="0"/>
                  <w:vAlign w:val="center"/>
                </w:tcPr>
                <w:p>
                  <w:pPr>
                    <w:widowControl/>
                    <w:jc w:val="center"/>
                    <w:rPr>
                      <w:rFonts w:hint="eastAsia" w:ascii="宋体" w:hAnsi="宋体" w:cs="Arial"/>
                      <w:kern w:val="0"/>
                      <w:sz w:val="21"/>
                      <w:szCs w:val="21"/>
                      <w:lang w:val="en-US" w:eastAsia="zh-CN" w:bidi="ar-SA"/>
                    </w:rPr>
                  </w:pPr>
                  <w:r>
                    <w:rPr>
                      <w:rFonts w:hint="eastAsia" w:ascii="宋体" w:hAnsi="宋体" w:cs="Arial"/>
                      <w:kern w:val="0"/>
                      <w:szCs w:val="21"/>
                      <w:lang w:val="en-US" w:eastAsia="zh-CN"/>
                    </w:rPr>
                    <w:t>林森泉</w:t>
                  </w:r>
                </w:p>
              </w:tc>
            </w:tr>
            <w:tr>
              <w:tblPrEx>
                <w:shd w:val="clear" w:color="auto" w:fill="auto"/>
                <w:tblCellMar>
                  <w:top w:w="0" w:type="dxa"/>
                  <w:left w:w="108" w:type="dxa"/>
                  <w:bottom w:w="0" w:type="dxa"/>
                  <w:right w:w="108" w:type="dxa"/>
                </w:tblCellMar>
              </w:tblPrEx>
              <w:trPr>
                <w:trHeight w:val="870" w:hRule="atLeast"/>
              </w:trPr>
              <w:tc>
                <w:tcPr>
                  <w:tcW w:w="383" w:type="pct"/>
                  <w:tcBorders>
                    <w:top w:val="single" w:color="auto" w:sz="4" w:space="0"/>
                    <w:left w:val="single" w:color="auto" w:sz="8" w:space="0"/>
                    <w:bottom w:val="single" w:color="auto" w:sz="4" w:space="0"/>
                    <w:right w:val="single" w:color="auto" w:sz="8" w:space="0"/>
                  </w:tcBorders>
                  <w:shd w:val="clear" w:color="auto" w:fill="auto"/>
                  <w:noWrap w:val="0"/>
                  <w:vAlign w:val="center"/>
                </w:tcPr>
                <w:p>
                  <w:pPr>
                    <w:widowControl/>
                    <w:rPr>
                      <w:rFonts w:hint="eastAsia" w:ascii="宋体" w:hAnsi="宋体" w:cs="Arial"/>
                      <w:kern w:val="0"/>
                      <w:szCs w:val="21"/>
                    </w:rPr>
                  </w:pPr>
                  <w:r>
                    <w:rPr>
                      <w:rFonts w:hint="eastAsia" w:ascii="宋体" w:hAnsi="宋体" w:cs="Arial"/>
                      <w:kern w:val="0"/>
                      <w:szCs w:val="21"/>
                    </w:rPr>
                    <w:t>2020</w:t>
                  </w:r>
                  <w:r>
                    <w:rPr>
                      <w:rFonts w:hint="eastAsia" w:ascii="宋体" w:hAnsi="宋体" w:cs="Arial"/>
                      <w:kern w:val="0"/>
                      <w:szCs w:val="21"/>
                      <w:lang w:eastAsia="zh-CN"/>
                    </w:rPr>
                    <w:t>.</w:t>
                  </w:r>
                  <w:r>
                    <w:rPr>
                      <w:rFonts w:hint="eastAsia" w:ascii="宋体" w:hAnsi="宋体" w:cs="Arial"/>
                      <w:kern w:val="0"/>
                      <w:szCs w:val="21"/>
                    </w:rPr>
                    <w:t>8</w:t>
                  </w:r>
                  <w:r>
                    <w:rPr>
                      <w:rFonts w:hint="eastAsia" w:ascii="宋体" w:hAnsi="宋体" w:cs="Arial"/>
                      <w:kern w:val="0"/>
                      <w:szCs w:val="21"/>
                      <w:lang w:eastAsia="zh-CN"/>
                    </w:rPr>
                    <w:t>.</w:t>
                  </w:r>
                  <w:r>
                    <w:rPr>
                      <w:rFonts w:hint="eastAsia" w:ascii="宋体" w:hAnsi="宋体" w:cs="Arial"/>
                      <w:kern w:val="0"/>
                      <w:szCs w:val="21"/>
                    </w:rPr>
                    <w:t>11</w:t>
                  </w:r>
                </w:p>
              </w:tc>
              <w:tc>
                <w:tcPr>
                  <w:tcW w:w="440" w:type="pct"/>
                  <w:tcBorders>
                    <w:top w:val="single" w:color="auto" w:sz="4" w:space="0"/>
                    <w:left w:val="nil"/>
                    <w:bottom w:val="single" w:color="auto" w:sz="4" w:space="0"/>
                    <w:right w:val="single" w:color="auto" w:sz="8" w:space="0"/>
                  </w:tcBorders>
                  <w:shd w:val="clear" w:color="auto" w:fill="auto"/>
                  <w:noWrap w:val="0"/>
                  <w:vAlign w:val="center"/>
                </w:tcPr>
                <w:p>
                  <w:pPr>
                    <w:widowControl/>
                    <w:jc w:val="center"/>
                    <w:rPr>
                      <w:rFonts w:hint="eastAsia" w:ascii="宋体" w:hAnsi="宋体" w:cs="Arial"/>
                      <w:kern w:val="0"/>
                      <w:szCs w:val="21"/>
                      <w:lang w:eastAsia="zh-CN"/>
                    </w:rPr>
                  </w:pPr>
                  <w:r>
                    <w:rPr>
                      <w:rFonts w:hint="eastAsia" w:ascii="宋体" w:hAnsi="宋体" w:cs="Arial"/>
                      <w:kern w:val="0"/>
                      <w:szCs w:val="21"/>
                      <w:lang w:eastAsia="zh-CN"/>
                    </w:rPr>
                    <w:t>YH962#</w:t>
                  </w:r>
                </w:p>
              </w:tc>
              <w:tc>
                <w:tcPr>
                  <w:tcW w:w="795" w:type="pct"/>
                  <w:tcBorders>
                    <w:top w:val="single" w:color="auto" w:sz="4" w:space="0"/>
                    <w:left w:val="nil"/>
                    <w:bottom w:val="single" w:color="auto" w:sz="4" w:space="0"/>
                    <w:right w:val="single" w:color="auto" w:sz="8" w:space="0"/>
                  </w:tcBorders>
                  <w:shd w:val="clear" w:color="auto" w:fill="auto"/>
                  <w:noWrap w:val="0"/>
                  <w:vAlign w:val="center"/>
                </w:tcPr>
                <w:p>
                  <w:pPr>
                    <w:widowControl/>
                    <w:jc w:val="center"/>
                    <w:rPr>
                      <w:rFonts w:hint="eastAsia" w:ascii="宋体" w:hAnsi="宋体" w:cs="Arial"/>
                      <w:kern w:val="0"/>
                      <w:szCs w:val="21"/>
                      <w:lang w:val="en-US" w:eastAsia="zh-CN"/>
                    </w:rPr>
                  </w:pPr>
                  <w:r>
                    <w:rPr>
                      <w:rFonts w:hint="eastAsia" w:ascii="宋体" w:hAnsi="宋体" w:cs="Arial"/>
                      <w:kern w:val="0"/>
                      <w:szCs w:val="21"/>
                      <w:lang w:val="en-US" w:eastAsia="zh-CN"/>
                    </w:rPr>
                    <w:t>70x75x181基础石材0.95方</w:t>
                  </w:r>
                </w:p>
              </w:tc>
              <w:tc>
                <w:tcPr>
                  <w:tcW w:w="1021" w:type="pct"/>
                  <w:tcBorders>
                    <w:top w:val="single" w:color="auto" w:sz="4" w:space="0"/>
                    <w:left w:val="nil"/>
                    <w:bottom w:val="single" w:color="auto" w:sz="4" w:space="0"/>
                    <w:right w:val="single" w:color="auto" w:sz="8" w:space="0"/>
                  </w:tcBorders>
                  <w:shd w:val="clear" w:color="auto" w:fill="auto"/>
                  <w:noWrap w:val="0"/>
                  <w:vAlign w:val="center"/>
                </w:tcPr>
                <w:p>
                  <w:pPr>
                    <w:widowControl/>
                    <w:jc w:val="center"/>
                    <w:rPr>
                      <w:rFonts w:hint="eastAsia" w:ascii="宋体" w:hAnsi="宋体" w:cs="Arial"/>
                      <w:kern w:val="0"/>
                      <w:szCs w:val="21"/>
                      <w:lang w:eastAsia="zh-CN"/>
                    </w:rPr>
                  </w:pPr>
                  <w:r>
                    <w:rPr>
                      <w:rFonts w:hint="eastAsia" w:ascii="宋体" w:hAnsi="宋体" w:cs="Arial"/>
                      <w:kern w:val="0"/>
                      <w:szCs w:val="21"/>
                      <w:lang w:eastAsia="zh-CN"/>
                    </w:rPr>
                    <w:t>厦门励益进出口有限公司</w:t>
                  </w:r>
                </w:p>
              </w:tc>
              <w:tc>
                <w:tcPr>
                  <w:tcW w:w="269" w:type="pct"/>
                  <w:tcBorders>
                    <w:top w:val="single" w:color="auto" w:sz="4" w:space="0"/>
                    <w:left w:val="nil"/>
                    <w:bottom w:val="single" w:color="auto" w:sz="4" w:space="0"/>
                    <w:right w:val="single" w:color="auto" w:sz="8" w:space="0"/>
                  </w:tcBorders>
                  <w:shd w:val="clear" w:color="auto" w:fill="auto"/>
                  <w:noWrap w:val="0"/>
                  <w:vAlign w:val="center"/>
                </w:tcPr>
                <w:p>
                  <w:pPr>
                    <w:widowControl/>
                    <w:jc w:val="center"/>
                    <w:rPr>
                      <w:rFonts w:hint="eastAsia" w:ascii="宋体" w:hAnsi="宋体" w:eastAsia="宋体" w:cs="Arial"/>
                      <w:kern w:val="0"/>
                      <w:sz w:val="21"/>
                      <w:szCs w:val="21"/>
                      <w:lang w:val="en-US" w:eastAsia="zh-CN" w:bidi="ar-SA"/>
                    </w:rPr>
                  </w:pPr>
                  <w:r>
                    <w:rPr>
                      <w:rFonts w:hint="eastAsia" w:ascii="宋体" w:hAnsi="宋体" w:cs="Arial"/>
                      <w:kern w:val="0"/>
                      <w:szCs w:val="21"/>
                    </w:rPr>
                    <w:t>√</w:t>
                  </w:r>
                </w:p>
              </w:tc>
              <w:tc>
                <w:tcPr>
                  <w:tcW w:w="274" w:type="pct"/>
                  <w:tcBorders>
                    <w:top w:val="single" w:color="auto" w:sz="4" w:space="0"/>
                    <w:left w:val="nil"/>
                    <w:bottom w:val="single" w:color="auto" w:sz="4" w:space="0"/>
                    <w:right w:val="single" w:color="auto" w:sz="8" w:space="0"/>
                  </w:tcBorders>
                  <w:shd w:val="clear" w:color="auto" w:fill="auto"/>
                  <w:noWrap w:val="0"/>
                  <w:vAlign w:val="center"/>
                </w:tcPr>
                <w:p>
                  <w:pPr>
                    <w:jc w:val="center"/>
                    <w:rPr>
                      <w:rFonts w:hint="eastAsia"/>
                      <w:kern w:val="2"/>
                      <w:sz w:val="21"/>
                      <w:lang w:val="en-US" w:eastAsia="zh-CN" w:bidi="ar-SA"/>
                    </w:rPr>
                  </w:pPr>
                  <w:r>
                    <w:rPr>
                      <w:rFonts w:hint="eastAsia" w:ascii="宋体" w:hAnsi="宋体" w:cs="Arial"/>
                      <w:kern w:val="0"/>
                      <w:szCs w:val="21"/>
                    </w:rPr>
                    <w:t>√</w:t>
                  </w:r>
                </w:p>
              </w:tc>
              <w:tc>
                <w:tcPr>
                  <w:tcW w:w="278" w:type="pct"/>
                  <w:tcBorders>
                    <w:top w:val="single" w:color="auto" w:sz="4" w:space="0"/>
                    <w:left w:val="nil"/>
                    <w:bottom w:val="single" w:color="auto" w:sz="4" w:space="0"/>
                    <w:right w:val="single" w:color="auto" w:sz="8" w:space="0"/>
                  </w:tcBorders>
                  <w:shd w:val="clear" w:color="auto" w:fill="auto"/>
                  <w:noWrap w:val="0"/>
                  <w:vAlign w:val="center"/>
                </w:tcPr>
                <w:p>
                  <w:pPr>
                    <w:jc w:val="center"/>
                    <w:rPr>
                      <w:rFonts w:hint="eastAsia"/>
                      <w:kern w:val="2"/>
                      <w:sz w:val="21"/>
                      <w:lang w:val="en-US" w:eastAsia="zh-CN" w:bidi="ar-SA"/>
                    </w:rPr>
                  </w:pPr>
                  <w:r>
                    <w:rPr>
                      <w:rFonts w:hint="eastAsia" w:ascii="宋体" w:hAnsi="宋体" w:cs="Arial"/>
                      <w:kern w:val="0"/>
                      <w:szCs w:val="21"/>
                    </w:rPr>
                    <w:t>√</w:t>
                  </w:r>
                </w:p>
              </w:tc>
              <w:tc>
                <w:tcPr>
                  <w:tcW w:w="307" w:type="pct"/>
                  <w:tcBorders>
                    <w:top w:val="single" w:color="auto" w:sz="4" w:space="0"/>
                    <w:left w:val="nil"/>
                    <w:bottom w:val="single" w:color="auto" w:sz="4" w:space="0"/>
                    <w:right w:val="single" w:color="auto" w:sz="8" w:space="0"/>
                  </w:tcBorders>
                  <w:shd w:val="clear" w:color="auto" w:fill="auto"/>
                  <w:noWrap w:val="0"/>
                  <w:vAlign w:val="center"/>
                </w:tcPr>
                <w:p>
                  <w:pPr>
                    <w:jc w:val="center"/>
                    <w:rPr>
                      <w:rFonts w:hint="eastAsia"/>
                      <w:kern w:val="2"/>
                      <w:sz w:val="21"/>
                      <w:lang w:val="en-US" w:eastAsia="zh-CN" w:bidi="ar-SA"/>
                    </w:rPr>
                  </w:pPr>
                  <w:r>
                    <w:rPr>
                      <w:rFonts w:hint="eastAsia" w:ascii="宋体" w:hAnsi="宋体" w:cs="Arial"/>
                      <w:kern w:val="0"/>
                      <w:szCs w:val="21"/>
                    </w:rPr>
                    <w:t>√</w:t>
                  </w:r>
                </w:p>
              </w:tc>
              <w:tc>
                <w:tcPr>
                  <w:tcW w:w="479" w:type="pct"/>
                  <w:tcBorders>
                    <w:top w:val="single" w:color="auto" w:sz="4" w:space="0"/>
                    <w:left w:val="nil"/>
                    <w:bottom w:val="single" w:color="auto" w:sz="4" w:space="0"/>
                    <w:right w:val="single" w:color="auto" w:sz="8" w:space="0"/>
                  </w:tcBorders>
                  <w:shd w:val="clear" w:color="auto" w:fill="auto"/>
                  <w:noWrap w:val="0"/>
                  <w:vAlign w:val="center"/>
                </w:tcPr>
                <w:p>
                  <w:pPr>
                    <w:widowControl/>
                    <w:rPr>
                      <w:rFonts w:hint="eastAsia" w:ascii="宋体" w:hAnsi="宋体" w:cs="Arial"/>
                      <w:kern w:val="0"/>
                      <w:sz w:val="21"/>
                      <w:szCs w:val="21"/>
                      <w:lang w:val="en-US" w:eastAsia="zh-CN" w:bidi="ar-SA"/>
                    </w:rPr>
                  </w:pPr>
                  <w:r>
                    <w:rPr>
                      <w:rFonts w:hint="eastAsia" w:ascii="宋体" w:hAnsi="宋体" w:cs="Arial"/>
                      <w:kern w:val="0"/>
                      <w:szCs w:val="21"/>
                    </w:rPr>
                    <w:t>√</w:t>
                  </w:r>
                </w:p>
              </w:tc>
              <w:tc>
                <w:tcPr>
                  <w:tcW w:w="301" w:type="pct"/>
                  <w:tcBorders>
                    <w:top w:val="single" w:color="auto" w:sz="4" w:space="0"/>
                    <w:left w:val="nil"/>
                    <w:bottom w:val="single" w:color="auto" w:sz="4" w:space="0"/>
                    <w:right w:val="single" w:color="auto" w:sz="8" w:space="0"/>
                  </w:tcBorders>
                  <w:shd w:val="clear" w:color="auto" w:fill="auto"/>
                  <w:noWrap w:val="0"/>
                  <w:vAlign w:val="center"/>
                </w:tcPr>
                <w:p>
                  <w:pPr>
                    <w:widowControl/>
                    <w:jc w:val="center"/>
                    <w:rPr>
                      <w:rFonts w:hint="eastAsia" w:ascii="宋体" w:hAnsi="宋体" w:cs="Arial"/>
                      <w:kern w:val="0"/>
                      <w:sz w:val="21"/>
                      <w:szCs w:val="21"/>
                      <w:lang w:val="en-US" w:eastAsia="zh-CN" w:bidi="ar-SA"/>
                    </w:rPr>
                  </w:pPr>
                  <w:r>
                    <w:rPr>
                      <w:rFonts w:hint="eastAsia" w:ascii="宋体" w:hAnsi="宋体" w:cs="Arial"/>
                      <w:kern w:val="0"/>
                      <w:szCs w:val="21"/>
                      <w:lang w:val="en-US" w:eastAsia="zh-CN"/>
                    </w:rPr>
                    <w:t>合格</w:t>
                  </w:r>
                </w:p>
              </w:tc>
              <w:tc>
                <w:tcPr>
                  <w:tcW w:w="449" w:type="pct"/>
                  <w:tcBorders>
                    <w:top w:val="single" w:color="auto" w:sz="4" w:space="0"/>
                    <w:left w:val="nil"/>
                    <w:bottom w:val="single" w:color="auto" w:sz="4" w:space="0"/>
                    <w:right w:val="single" w:color="auto" w:sz="8" w:space="0"/>
                  </w:tcBorders>
                  <w:shd w:val="clear" w:color="auto" w:fill="auto"/>
                  <w:noWrap w:val="0"/>
                  <w:vAlign w:val="center"/>
                </w:tcPr>
                <w:p>
                  <w:pPr>
                    <w:widowControl/>
                    <w:jc w:val="center"/>
                    <w:rPr>
                      <w:rFonts w:hint="eastAsia" w:ascii="宋体" w:hAnsi="宋体" w:cs="Arial"/>
                      <w:kern w:val="0"/>
                      <w:sz w:val="21"/>
                      <w:szCs w:val="21"/>
                      <w:lang w:val="en-US" w:eastAsia="zh-CN" w:bidi="ar-SA"/>
                    </w:rPr>
                  </w:pPr>
                  <w:r>
                    <w:rPr>
                      <w:rFonts w:hint="eastAsia" w:ascii="宋体" w:hAnsi="宋体" w:cs="Arial"/>
                      <w:kern w:val="0"/>
                      <w:szCs w:val="21"/>
                      <w:lang w:val="en-US" w:eastAsia="zh-CN"/>
                    </w:rPr>
                    <w:t>林森泉</w:t>
                  </w:r>
                </w:p>
              </w:tc>
            </w:tr>
            <w:tr>
              <w:tblPrEx>
                <w:shd w:val="clear" w:color="auto" w:fill="auto"/>
                <w:tblCellMar>
                  <w:top w:w="0" w:type="dxa"/>
                  <w:left w:w="108" w:type="dxa"/>
                  <w:bottom w:w="0" w:type="dxa"/>
                  <w:right w:w="108" w:type="dxa"/>
                </w:tblCellMar>
              </w:tblPrEx>
              <w:trPr>
                <w:trHeight w:val="870" w:hRule="atLeast"/>
              </w:trPr>
              <w:tc>
                <w:tcPr>
                  <w:tcW w:w="383" w:type="pct"/>
                  <w:tcBorders>
                    <w:top w:val="single" w:color="auto" w:sz="4" w:space="0"/>
                    <w:left w:val="single" w:color="auto" w:sz="8" w:space="0"/>
                    <w:bottom w:val="single" w:color="auto" w:sz="4" w:space="0"/>
                    <w:right w:val="single" w:color="auto" w:sz="8" w:space="0"/>
                  </w:tcBorders>
                  <w:shd w:val="clear" w:color="auto" w:fill="auto"/>
                  <w:noWrap w:val="0"/>
                  <w:vAlign w:val="center"/>
                </w:tcPr>
                <w:p>
                  <w:pPr>
                    <w:widowControl/>
                    <w:rPr>
                      <w:rFonts w:hint="eastAsia" w:ascii="宋体" w:hAnsi="宋体" w:cs="Arial"/>
                      <w:kern w:val="0"/>
                      <w:szCs w:val="21"/>
                    </w:rPr>
                  </w:pPr>
                  <w:r>
                    <w:rPr>
                      <w:rFonts w:hint="eastAsia" w:ascii="宋体" w:hAnsi="宋体" w:cs="Arial"/>
                      <w:kern w:val="0"/>
                      <w:szCs w:val="21"/>
                      <w:lang w:val="en-US" w:eastAsia="zh-CN"/>
                    </w:rPr>
                    <w:t>2020.11.6</w:t>
                  </w:r>
                </w:p>
              </w:tc>
              <w:tc>
                <w:tcPr>
                  <w:tcW w:w="440" w:type="pct"/>
                  <w:tcBorders>
                    <w:top w:val="single" w:color="auto" w:sz="4" w:space="0"/>
                    <w:left w:val="nil"/>
                    <w:bottom w:val="single" w:color="auto" w:sz="4" w:space="0"/>
                    <w:right w:val="single" w:color="auto" w:sz="8" w:space="0"/>
                  </w:tcBorders>
                  <w:shd w:val="clear" w:color="auto" w:fill="auto"/>
                  <w:noWrap w:val="0"/>
                  <w:vAlign w:val="center"/>
                </w:tcPr>
                <w:p>
                  <w:pPr>
                    <w:widowControl/>
                    <w:jc w:val="center"/>
                    <w:rPr>
                      <w:rFonts w:hint="eastAsia" w:ascii="宋体" w:hAnsi="宋体" w:cs="Arial"/>
                      <w:kern w:val="0"/>
                      <w:szCs w:val="21"/>
                      <w:lang w:eastAsia="zh-CN"/>
                    </w:rPr>
                  </w:pPr>
                  <w:r>
                    <w:rPr>
                      <w:rFonts w:hint="eastAsia" w:ascii="宋体" w:hAnsi="宋体" w:eastAsia="宋体" w:cs="Arial"/>
                      <w:kern w:val="0"/>
                      <w:szCs w:val="21"/>
                      <w:lang w:val="en-US" w:eastAsia="zh-CN"/>
                    </w:rPr>
                    <w:t>安哥拉黑</w:t>
                  </w:r>
                </w:p>
              </w:tc>
              <w:tc>
                <w:tcPr>
                  <w:tcW w:w="795" w:type="pct"/>
                  <w:tcBorders>
                    <w:top w:val="single" w:color="auto" w:sz="4" w:space="0"/>
                    <w:left w:val="nil"/>
                    <w:bottom w:val="single" w:color="auto" w:sz="4" w:space="0"/>
                    <w:right w:val="single" w:color="auto" w:sz="8" w:space="0"/>
                  </w:tcBorders>
                  <w:shd w:val="clear" w:color="auto" w:fill="auto"/>
                  <w:noWrap w:val="0"/>
                  <w:vAlign w:val="center"/>
                </w:tcPr>
                <w:p>
                  <w:pPr>
                    <w:widowControl/>
                    <w:jc w:val="center"/>
                    <w:rPr>
                      <w:rFonts w:hint="eastAsia" w:ascii="宋体" w:hAnsi="宋体" w:cs="Arial"/>
                      <w:kern w:val="0"/>
                      <w:szCs w:val="21"/>
                      <w:lang w:val="en-US" w:eastAsia="zh-CN"/>
                    </w:rPr>
                  </w:pPr>
                  <w:r>
                    <w:rPr>
                      <w:rFonts w:hint="eastAsia" w:ascii="宋体" w:hAnsi="宋体" w:eastAsia="宋体" w:cs="Arial"/>
                      <w:color w:val="auto"/>
                      <w:kern w:val="0"/>
                      <w:szCs w:val="21"/>
                      <w:lang w:val="en-US" w:eastAsia="zh-CN"/>
                    </w:rPr>
                    <w:t>292*122*188</w:t>
                  </w:r>
                </w:p>
              </w:tc>
              <w:tc>
                <w:tcPr>
                  <w:tcW w:w="1021" w:type="pct"/>
                  <w:tcBorders>
                    <w:top w:val="single" w:color="auto" w:sz="4" w:space="0"/>
                    <w:left w:val="nil"/>
                    <w:bottom w:val="single" w:color="auto" w:sz="4" w:space="0"/>
                    <w:right w:val="single" w:color="auto" w:sz="8" w:space="0"/>
                  </w:tcBorders>
                  <w:shd w:val="clear" w:color="auto" w:fill="auto"/>
                  <w:noWrap w:val="0"/>
                  <w:vAlign w:val="center"/>
                </w:tcPr>
                <w:p>
                  <w:pPr>
                    <w:widowControl/>
                    <w:jc w:val="center"/>
                    <w:rPr>
                      <w:rFonts w:hint="eastAsia" w:ascii="宋体" w:hAnsi="宋体" w:cs="Arial"/>
                      <w:kern w:val="0"/>
                      <w:szCs w:val="21"/>
                      <w:lang w:eastAsia="zh-CN"/>
                    </w:rPr>
                  </w:pPr>
                  <w:r>
                    <w:rPr>
                      <w:rFonts w:hint="eastAsia" w:ascii="宋体" w:hAnsi="宋体" w:cs="Arial"/>
                      <w:kern w:val="0"/>
                      <w:szCs w:val="21"/>
                      <w:lang w:val="en-US" w:eastAsia="zh-CN"/>
                    </w:rPr>
                    <w:t>福建汉石通石业发展有限公司</w:t>
                  </w:r>
                </w:p>
              </w:tc>
              <w:tc>
                <w:tcPr>
                  <w:tcW w:w="269" w:type="pct"/>
                  <w:tcBorders>
                    <w:top w:val="single" w:color="auto" w:sz="4" w:space="0"/>
                    <w:left w:val="nil"/>
                    <w:bottom w:val="single" w:color="auto" w:sz="4" w:space="0"/>
                    <w:right w:val="single" w:color="auto" w:sz="8" w:space="0"/>
                  </w:tcBorders>
                  <w:shd w:val="clear" w:color="auto" w:fill="auto"/>
                  <w:noWrap w:val="0"/>
                  <w:vAlign w:val="center"/>
                </w:tcPr>
                <w:p>
                  <w:pPr>
                    <w:widowControl/>
                    <w:jc w:val="center"/>
                    <w:rPr>
                      <w:rFonts w:hint="eastAsia" w:ascii="宋体" w:hAnsi="宋体" w:eastAsia="宋体" w:cs="Arial"/>
                      <w:kern w:val="0"/>
                      <w:sz w:val="21"/>
                      <w:szCs w:val="21"/>
                      <w:lang w:val="en-US" w:eastAsia="zh-CN" w:bidi="ar-SA"/>
                    </w:rPr>
                  </w:pPr>
                  <w:r>
                    <w:rPr>
                      <w:rFonts w:hint="eastAsia" w:ascii="宋体" w:hAnsi="宋体" w:cs="Arial"/>
                      <w:kern w:val="0"/>
                      <w:szCs w:val="21"/>
                    </w:rPr>
                    <w:t>√</w:t>
                  </w:r>
                </w:p>
              </w:tc>
              <w:tc>
                <w:tcPr>
                  <w:tcW w:w="274" w:type="pct"/>
                  <w:tcBorders>
                    <w:top w:val="single" w:color="auto" w:sz="4" w:space="0"/>
                    <w:left w:val="nil"/>
                    <w:bottom w:val="single" w:color="auto" w:sz="4" w:space="0"/>
                    <w:right w:val="single" w:color="auto" w:sz="8" w:space="0"/>
                  </w:tcBorders>
                  <w:shd w:val="clear" w:color="auto" w:fill="auto"/>
                  <w:noWrap w:val="0"/>
                  <w:vAlign w:val="center"/>
                </w:tcPr>
                <w:p>
                  <w:pPr>
                    <w:jc w:val="center"/>
                    <w:rPr>
                      <w:rFonts w:hint="eastAsia"/>
                      <w:kern w:val="2"/>
                      <w:sz w:val="21"/>
                      <w:lang w:val="en-US" w:eastAsia="zh-CN" w:bidi="ar-SA"/>
                    </w:rPr>
                  </w:pPr>
                  <w:r>
                    <w:rPr>
                      <w:rFonts w:hint="eastAsia" w:ascii="宋体" w:hAnsi="宋体" w:cs="Arial"/>
                      <w:kern w:val="0"/>
                      <w:szCs w:val="21"/>
                    </w:rPr>
                    <w:t>√</w:t>
                  </w:r>
                </w:p>
              </w:tc>
              <w:tc>
                <w:tcPr>
                  <w:tcW w:w="278" w:type="pct"/>
                  <w:tcBorders>
                    <w:top w:val="single" w:color="auto" w:sz="4" w:space="0"/>
                    <w:left w:val="nil"/>
                    <w:bottom w:val="single" w:color="auto" w:sz="4" w:space="0"/>
                    <w:right w:val="single" w:color="auto" w:sz="8" w:space="0"/>
                  </w:tcBorders>
                  <w:shd w:val="clear" w:color="auto" w:fill="auto"/>
                  <w:noWrap w:val="0"/>
                  <w:vAlign w:val="center"/>
                </w:tcPr>
                <w:p>
                  <w:pPr>
                    <w:jc w:val="center"/>
                    <w:rPr>
                      <w:rFonts w:hint="eastAsia"/>
                      <w:kern w:val="2"/>
                      <w:sz w:val="21"/>
                      <w:lang w:val="en-US" w:eastAsia="zh-CN" w:bidi="ar-SA"/>
                    </w:rPr>
                  </w:pPr>
                  <w:r>
                    <w:rPr>
                      <w:rFonts w:hint="eastAsia" w:ascii="宋体" w:hAnsi="宋体" w:cs="Arial"/>
                      <w:kern w:val="0"/>
                      <w:szCs w:val="21"/>
                    </w:rPr>
                    <w:t>√</w:t>
                  </w:r>
                </w:p>
              </w:tc>
              <w:tc>
                <w:tcPr>
                  <w:tcW w:w="307" w:type="pct"/>
                  <w:tcBorders>
                    <w:top w:val="single" w:color="auto" w:sz="4" w:space="0"/>
                    <w:left w:val="nil"/>
                    <w:bottom w:val="single" w:color="auto" w:sz="4" w:space="0"/>
                    <w:right w:val="single" w:color="auto" w:sz="8" w:space="0"/>
                  </w:tcBorders>
                  <w:shd w:val="clear" w:color="auto" w:fill="auto"/>
                  <w:noWrap w:val="0"/>
                  <w:vAlign w:val="center"/>
                </w:tcPr>
                <w:p>
                  <w:pPr>
                    <w:jc w:val="center"/>
                    <w:rPr>
                      <w:rFonts w:hint="eastAsia"/>
                      <w:kern w:val="2"/>
                      <w:sz w:val="21"/>
                      <w:lang w:val="en-US" w:eastAsia="zh-CN" w:bidi="ar-SA"/>
                    </w:rPr>
                  </w:pPr>
                  <w:r>
                    <w:rPr>
                      <w:rFonts w:hint="eastAsia" w:ascii="宋体" w:hAnsi="宋体" w:cs="Arial"/>
                      <w:kern w:val="0"/>
                      <w:szCs w:val="21"/>
                    </w:rPr>
                    <w:t>√</w:t>
                  </w:r>
                </w:p>
              </w:tc>
              <w:tc>
                <w:tcPr>
                  <w:tcW w:w="479" w:type="pct"/>
                  <w:tcBorders>
                    <w:top w:val="single" w:color="auto" w:sz="4" w:space="0"/>
                    <w:left w:val="nil"/>
                    <w:bottom w:val="single" w:color="auto" w:sz="4" w:space="0"/>
                    <w:right w:val="single" w:color="auto" w:sz="8" w:space="0"/>
                  </w:tcBorders>
                  <w:shd w:val="clear" w:color="auto" w:fill="auto"/>
                  <w:noWrap w:val="0"/>
                  <w:vAlign w:val="center"/>
                </w:tcPr>
                <w:p>
                  <w:pPr>
                    <w:widowControl/>
                    <w:rPr>
                      <w:rFonts w:hint="eastAsia" w:ascii="宋体" w:hAnsi="宋体" w:cs="Arial"/>
                      <w:kern w:val="0"/>
                      <w:sz w:val="21"/>
                      <w:szCs w:val="21"/>
                      <w:lang w:val="en-US" w:eastAsia="zh-CN" w:bidi="ar-SA"/>
                    </w:rPr>
                  </w:pPr>
                  <w:r>
                    <w:rPr>
                      <w:rFonts w:hint="eastAsia" w:ascii="宋体" w:hAnsi="宋体" w:cs="Arial"/>
                      <w:kern w:val="0"/>
                      <w:szCs w:val="21"/>
                    </w:rPr>
                    <w:t>√</w:t>
                  </w:r>
                </w:p>
              </w:tc>
              <w:tc>
                <w:tcPr>
                  <w:tcW w:w="301" w:type="pct"/>
                  <w:tcBorders>
                    <w:top w:val="single" w:color="auto" w:sz="4" w:space="0"/>
                    <w:left w:val="nil"/>
                    <w:bottom w:val="single" w:color="auto" w:sz="4" w:space="0"/>
                    <w:right w:val="single" w:color="auto" w:sz="8" w:space="0"/>
                  </w:tcBorders>
                  <w:shd w:val="clear" w:color="auto" w:fill="auto"/>
                  <w:noWrap w:val="0"/>
                  <w:vAlign w:val="center"/>
                </w:tcPr>
                <w:p>
                  <w:pPr>
                    <w:widowControl/>
                    <w:jc w:val="center"/>
                    <w:rPr>
                      <w:rFonts w:hint="eastAsia" w:ascii="宋体" w:hAnsi="宋体" w:cs="Arial"/>
                      <w:kern w:val="0"/>
                      <w:sz w:val="21"/>
                      <w:szCs w:val="21"/>
                      <w:lang w:val="en-US" w:eastAsia="zh-CN" w:bidi="ar-SA"/>
                    </w:rPr>
                  </w:pPr>
                  <w:r>
                    <w:rPr>
                      <w:rFonts w:hint="eastAsia" w:ascii="宋体" w:hAnsi="宋体" w:cs="Arial"/>
                      <w:kern w:val="0"/>
                      <w:szCs w:val="21"/>
                      <w:lang w:val="en-US" w:eastAsia="zh-CN"/>
                    </w:rPr>
                    <w:t>合格</w:t>
                  </w:r>
                </w:p>
              </w:tc>
              <w:tc>
                <w:tcPr>
                  <w:tcW w:w="449" w:type="pct"/>
                  <w:tcBorders>
                    <w:top w:val="single" w:color="auto" w:sz="4" w:space="0"/>
                    <w:left w:val="nil"/>
                    <w:bottom w:val="single" w:color="auto" w:sz="4" w:space="0"/>
                    <w:right w:val="single" w:color="auto" w:sz="8" w:space="0"/>
                  </w:tcBorders>
                  <w:shd w:val="clear" w:color="auto" w:fill="auto"/>
                  <w:noWrap w:val="0"/>
                  <w:vAlign w:val="center"/>
                </w:tcPr>
                <w:p>
                  <w:pPr>
                    <w:widowControl/>
                    <w:jc w:val="center"/>
                    <w:rPr>
                      <w:rFonts w:hint="eastAsia" w:ascii="宋体" w:hAnsi="宋体" w:cs="Arial"/>
                      <w:kern w:val="0"/>
                      <w:sz w:val="21"/>
                      <w:szCs w:val="21"/>
                      <w:lang w:val="en-US" w:eastAsia="zh-CN" w:bidi="ar-SA"/>
                    </w:rPr>
                  </w:pPr>
                  <w:r>
                    <w:rPr>
                      <w:rFonts w:hint="eastAsia" w:ascii="宋体" w:hAnsi="宋体" w:cs="Arial"/>
                      <w:kern w:val="0"/>
                      <w:szCs w:val="21"/>
                      <w:lang w:val="en-US" w:eastAsia="zh-CN"/>
                    </w:rPr>
                    <w:t>林森泉</w:t>
                  </w:r>
                </w:p>
              </w:tc>
            </w:tr>
          </w:tbl>
          <w:p>
            <w:pPr>
              <w:spacing w:line="360" w:lineRule="auto"/>
              <w:rPr>
                <w:rFonts w:hint="default" w:asciiTheme="minorEastAsia" w:hAnsiTheme="minorEastAsia" w:eastAsiaTheme="minorEastAsia" w:cstheme="minorEastAsia"/>
                <w:sz w:val="21"/>
                <w:szCs w:val="21"/>
                <w:lang w:val="en-US" w:eastAsia="zh-CN"/>
              </w:rPr>
            </w:pPr>
          </w:p>
          <w:p>
            <w:pPr>
              <w:spacing w:line="360" w:lineRule="auto"/>
              <w:ind w:right="-6" w:rightChars="-3"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（3）该公司制订了《售后服务规定》、《</w:t>
            </w:r>
            <w:r>
              <w:rPr>
                <w:rFonts w:hint="eastAsia" w:asciiTheme="minorEastAsia" w:hAnsiTheme="minorEastAsia" w:eastAsiaTheme="minorEastAsia" w:cstheme="minorEastAsia"/>
                <w:sz w:val="21"/>
                <w:szCs w:val="21"/>
                <w:lang w:eastAsia="zh-CN"/>
              </w:rPr>
              <w:t>销售</w:t>
            </w:r>
            <w:r>
              <w:rPr>
                <w:rFonts w:hint="eastAsia" w:asciiTheme="minorEastAsia" w:hAnsiTheme="minorEastAsia" w:eastAsiaTheme="minorEastAsia" w:cstheme="minorEastAsia"/>
                <w:sz w:val="21"/>
                <w:szCs w:val="21"/>
              </w:rPr>
              <w:t>服务质量的控制规范》、《</w:t>
            </w:r>
            <w:r>
              <w:rPr>
                <w:rFonts w:hint="eastAsia" w:asciiTheme="minorEastAsia" w:hAnsiTheme="minorEastAsia" w:eastAsiaTheme="minorEastAsia" w:cstheme="minorEastAsia"/>
                <w:sz w:val="21"/>
                <w:szCs w:val="21"/>
                <w:lang w:eastAsia="zh-CN"/>
              </w:rPr>
              <w:t>销售</w:t>
            </w:r>
            <w:r>
              <w:rPr>
                <w:rFonts w:hint="eastAsia" w:asciiTheme="minorEastAsia" w:hAnsiTheme="minorEastAsia" w:eastAsiaTheme="minorEastAsia" w:cstheme="minorEastAsia"/>
                <w:sz w:val="21"/>
                <w:szCs w:val="21"/>
              </w:rPr>
              <w:t>服务提供规范》、《售后服务人员服务规范》等对商品销售及销售服务过程进行了质量控制的规定。</w:t>
            </w:r>
          </w:p>
          <w:p>
            <w:pPr>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提供了《服务质量检查评定表》，对</w:t>
            </w:r>
            <w:r>
              <w:rPr>
                <w:rFonts w:hint="eastAsia" w:asciiTheme="minorEastAsia" w:hAnsiTheme="minorEastAsia" w:eastAsiaTheme="minorEastAsia" w:cstheme="minorEastAsia"/>
                <w:sz w:val="21"/>
                <w:szCs w:val="21"/>
                <w:lang w:val="en-US" w:eastAsia="zh-CN"/>
              </w:rPr>
              <w:t>销售人员的销售服务和</w:t>
            </w:r>
            <w:r>
              <w:rPr>
                <w:rFonts w:hint="eastAsia" w:asciiTheme="minorEastAsia" w:hAnsiTheme="minorEastAsia" w:eastAsiaTheme="minorEastAsia" w:cstheme="minorEastAsia"/>
                <w:sz w:val="21"/>
                <w:szCs w:val="21"/>
              </w:rPr>
              <w:t>客户的反馈等进行了记录。</w:t>
            </w:r>
          </w:p>
          <w:p>
            <w:pPr>
              <w:spacing w:line="360" w:lineRule="auto"/>
              <w:ind w:right="-6" w:rightChars="-3"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提供了《销售服务质量检查表》，对</w:t>
            </w:r>
            <w:r>
              <w:rPr>
                <w:rFonts w:hint="eastAsia" w:asciiTheme="minorEastAsia" w:hAnsiTheme="minorEastAsia" w:eastAsiaTheme="minorEastAsia" w:cstheme="minorEastAsia"/>
                <w:sz w:val="21"/>
                <w:szCs w:val="21"/>
                <w:lang w:val="en-US" w:eastAsia="zh-CN"/>
              </w:rPr>
              <w:t>所有</w:t>
            </w:r>
            <w:r>
              <w:rPr>
                <w:rFonts w:hint="eastAsia" w:asciiTheme="minorEastAsia" w:hAnsiTheme="minorEastAsia" w:eastAsiaTheme="minorEastAsia" w:cstheme="minorEastAsia"/>
                <w:sz w:val="21"/>
                <w:szCs w:val="21"/>
                <w:lang w:eastAsia="zh-CN"/>
              </w:rPr>
              <w:t>销售</w:t>
            </w:r>
            <w:r>
              <w:rPr>
                <w:rFonts w:hint="eastAsia" w:asciiTheme="minorEastAsia" w:hAnsiTheme="minorEastAsia" w:eastAsiaTheme="minorEastAsia" w:cstheme="minorEastAsia"/>
                <w:sz w:val="21"/>
                <w:szCs w:val="21"/>
              </w:rPr>
              <w:t>人员</w:t>
            </w:r>
            <w:r>
              <w:rPr>
                <w:rFonts w:hint="eastAsia" w:asciiTheme="minorEastAsia" w:hAnsiTheme="minorEastAsia" w:eastAsiaTheme="minorEastAsia" w:cstheme="minorEastAsia"/>
                <w:sz w:val="21"/>
                <w:szCs w:val="21"/>
                <w:lang w:val="en-US" w:eastAsia="zh-CN"/>
              </w:rPr>
              <w:t>每个月</w:t>
            </w:r>
            <w:r>
              <w:rPr>
                <w:rFonts w:hint="eastAsia" w:asciiTheme="minorEastAsia" w:hAnsiTheme="minorEastAsia" w:eastAsiaTheme="minorEastAsia" w:cstheme="minorEastAsia"/>
                <w:sz w:val="21"/>
                <w:szCs w:val="21"/>
              </w:rPr>
              <w:t>的工作进行了监督检查</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然后记录《销售过程监督评价记录表》对每个销售人员进行评价</w:t>
            </w:r>
            <w:r>
              <w:rPr>
                <w:rFonts w:hint="eastAsia" w:asciiTheme="minorEastAsia" w:hAnsiTheme="minorEastAsia" w:eastAsiaTheme="minorEastAsia" w:cstheme="minorEastAsia"/>
                <w:sz w:val="21"/>
                <w:szCs w:val="21"/>
              </w:rPr>
              <w:t>。</w:t>
            </w:r>
          </w:p>
          <w:p>
            <w:pPr>
              <w:spacing w:line="360" w:lineRule="auto"/>
              <w:ind w:right="-6" w:rightChars="-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查见</w:t>
            </w:r>
            <w:r>
              <w:rPr>
                <w:rFonts w:hint="eastAsia" w:asciiTheme="minorEastAsia" w:hAnsiTheme="minorEastAsia" w:eastAsiaTheme="minorEastAsia" w:cstheme="minorEastAsia"/>
                <w:sz w:val="21"/>
                <w:szCs w:val="21"/>
                <w:lang w:eastAsia="zh-CN"/>
              </w:rPr>
              <w:t>2020</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日的《服务质量检查评定表》，业务人员：</w:t>
            </w:r>
            <w:r>
              <w:rPr>
                <w:rFonts w:hint="eastAsia" w:asciiTheme="minorEastAsia" w:hAnsiTheme="minorEastAsia" w:eastAsiaTheme="minorEastAsia" w:cstheme="minorEastAsia"/>
                <w:sz w:val="21"/>
                <w:szCs w:val="21"/>
                <w:lang w:eastAsia="zh-CN"/>
              </w:rPr>
              <w:t>陈建辉</w:t>
            </w:r>
            <w:r>
              <w:rPr>
                <w:rFonts w:hint="eastAsia" w:asciiTheme="minorEastAsia" w:hAnsiTheme="minorEastAsia" w:eastAsiaTheme="minorEastAsia" w:cstheme="minorEastAsia"/>
                <w:sz w:val="21"/>
                <w:szCs w:val="21"/>
              </w:rPr>
              <w:t>，综合评价：9</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分，检查人：</w:t>
            </w:r>
            <w:r>
              <w:rPr>
                <w:rFonts w:hint="eastAsia" w:asciiTheme="minorEastAsia" w:hAnsiTheme="minorEastAsia" w:eastAsiaTheme="minorEastAsia" w:cstheme="minorEastAsia"/>
                <w:sz w:val="21"/>
                <w:szCs w:val="21"/>
                <w:lang w:val="en-US" w:eastAsia="zh-CN"/>
              </w:rPr>
              <w:t>林森泉</w:t>
            </w:r>
            <w:r>
              <w:rPr>
                <w:rFonts w:hint="eastAsia" w:asciiTheme="minorEastAsia" w:hAnsiTheme="minorEastAsia" w:eastAsiaTheme="minorEastAsia" w:cstheme="minorEastAsia"/>
                <w:sz w:val="21"/>
                <w:szCs w:val="21"/>
              </w:rPr>
              <w:t xml:space="preserve"> 审核：</w:t>
            </w:r>
            <w:r>
              <w:rPr>
                <w:rFonts w:hint="eastAsia" w:asciiTheme="minorEastAsia" w:hAnsiTheme="minorEastAsia" w:eastAsiaTheme="minorEastAsia" w:cstheme="minorEastAsia"/>
                <w:sz w:val="21"/>
                <w:szCs w:val="21"/>
                <w:lang w:val="en-US" w:eastAsia="zh-CN"/>
              </w:rPr>
              <w:t>陈建阳</w:t>
            </w:r>
            <w:r>
              <w:rPr>
                <w:rFonts w:hint="eastAsia" w:asciiTheme="minorEastAsia" w:hAnsiTheme="minorEastAsia" w:eastAsiaTheme="minorEastAsia" w:cstheme="minorEastAsia"/>
                <w:sz w:val="21"/>
                <w:szCs w:val="21"/>
              </w:rPr>
              <w:t>。</w:t>
            </w:r>
          </w:p>
          <w:p>
            <w:pPr>
              <w:spacing w:line="360" w:lineRule="auto"/>
              <w:ind w:right="-6" w:rightChars="-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查见</w:t>
            </w:r>
            <w:r>
              <w:rPr>
                <w:rFonts w:hint="eastAsia" w:asciiTheme="minorEastAsia" w:hAnsiTheme="minorEastAsia" w:eastAsiaTheme="minorEastAsia" w:cstheme="minorEastAsia"/>
                <w:sz w:val="21"/>
                <w:szCs w:val="21"/>
                <w:lang w:eastAsia="zh-CN"/>
              </w:rPr>
              <w:t>2020</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日的《服务质量检查评定表》，业务人员：</w:t>
            </w:r>
            <w:r>
              <w:rPr>
                <w:rFonts w:hint="eastAsia" w:asciiTheme="minorEastAsia" w:hAnsiTheme="minorEastAsia" w:eastAsiaTheme="minorEastAsia" w:cstheme="minorEastAsia"/>
                <w:sz w:val="21"/>
                <w:szCs w:val="21"/>
                <w:lang w:eastAsia="zh-CN"/>
              </w:rPr>
              <w:t>周雪平</w:t>
            </w:r>
            <w:r>
              <w:rPr>
                <w:rFonts w:hint="eastAsia" w:asciiTheme="minorEastAsia" w:hAnsiTheme="minorEastAsia" w:eastAsiaTheme="minorEastAsia" w:cstheme="minorEastAsia"/>
                <w:sz w:val="21"/>
                <w:szCs w:val="21"/>
              </w:rPr>
              <w:t>，综合评价：9</w:t>
            </w:r>
            <w:r>
              <w:rPr>
                <w:rFonts w:hint="eastAsia" w:asciiTheme="minorEastAsia" w:hAnsiTheme="minorEastAsia" w:eastAsiaTheme="minorEastAsia" w:cstheme="minorEastAsia"/>
                <w:sz w:val="21"/>
                <w:szCs w:val="21"/>
                <w:lang w:val="en-US" w:eastAsia="zh-CN"/>
              </w:rPr>
              <w:t>4.7</w:t>
            </w:r>
            <w:r>
              <w:rPr>
                <w:rFonts w:hint="eastAsia" w:asciiTheme="minorEastAsia" w:hAnsiTheme="minorEastAsia" w:eastAsiaTheme="minorEastAsia" w:cstheme="minorEastAsia"/>
                <w:sz w:val="21"/>
                <w:szCs w:val="21"/>
              </w:rPr>
              <w:t>分，检查人：</w:t>
            </w:r>
            <w:r>
              <w:rPr>
                <w:rFonts w:hint="eastAsia" w:asciiTheme="minorEastAsia" w:hAnsiTheme="minorEastAsia" w:eastAsiaTheme="minorEastAsia" w:cstheme="minorEastAsia"/>
                <w:sz w:val="21"/>
                <w:szCs w:val="21"/>
                <w:lang w:val="en-US" w:eastAsia="zh-CN"/>
              </w:rPr>
              <w:t>林森泉</w:t>
            </w:r>
            <w:r>
              <w:rPr>
                <w:rFonts w:hint="eastAsia" w:asciiTheme="minorEastAsia" w:hAnsiTheme="minorEastAsia" w:eastAsiaTheme="minorEastAsia" w:cstheme="minorEastAsia"/>
                <w:sz w:val="21"/>
                <w:szCs w:val="21"/>
              </w:rPr>
              <w:t xml:space="preserve"> 审核：</w:t>
            </w:r>
            <w:r>
              <w:rPr>
                <w:rFonts w:hint="eastAsia" w:asciiTheme="minorEastAsia" w:hAnsiTheme="minorEastAsia" w:eastAsiaTheme="minorEastAsia" w:cstheme="minorEastAsia"/>
                <w:sz w:val="21"/>
                <w:szCs w:val="21"/>
                <w:lang w:val="en-US" w:eastAsia="zh-CN"/>
              </w:rPr>
              <w:t>陈建阳</w:t>
            </w:r>
            <w:r>
              <w:rPr>
                <w:rFonts w:hint="eastAsia" w:asciiTheme="minorEastAsia" w:hAnsiTheme="minorEastAsia" w:eastAsiaTheme="minorEastAsia" w:cstheme="minorEastAsia"/>
                <w:sz w:val="21"/>
                <w:szCs w:val="21"/>
              </w:rPr>
              <w:t>。</w:t>
            </w:r>
          </w:p>
          <w:p>
            <w:pPr>
              <w:spacing w:line="360" w:lineRule="auto"/>
              <w:ind w:right="-6" w:rightChars="-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查见</w:t>
            </w:r>
            <w:r>
              <w:rPr>
                <w:rFonts w:hint="eastAsia" w:asciiTheme="minorEastAsia" w:hAnsiTheme="minorEastAsia" w:eastAsiaTheme="minorEastAsia" w:cstheme="minorEastAsia"/>
                <w:sz w:val="21"/>
                <w:szCs w:val="21"/>
                <w:lang w:val="en-US" w:eastAsia="zh-CN"/>
              </w:rPr>
              <w:t>2020年7月20</w:t>
            </w:r>
            <w:r>
              <w:rPr>
                <w:rFonts w:hint="eastAsia" w:asciiTheme="minorEastAsia" w:hAnsiTheme="minorEastAsia" w:eastAsiaTheme="minorEastAsia" w:cstheme="minorEastAsia"/>
                <w:sz w:val="21"/>
                <w:szCs w:val="21"/>
              </w:rPr>
              <w:t>日的《销售过程监督评价记录表》，</w:t>
            </w:r>
            <w:r>
              <w:rPr>
                <w:rFonts w:hint="eastAsia" w:asciiTheme="minorEastAsia" w:hAnsiTheme="minorEastAsia" w:eastAsiaTheme="minorEastAsia" w:cstheme="minorEastAsia"/>
                <w:sz w:val="21"/>
                <w:szCs w:val="21"/>
                <w:lang w:val="en-US" w:eastAsia="zh-CN"/>
              </w:rPr>
              <w:t>对</w:t>
            </w:r>
            <w:r>
              <w:rPr>
                <w:rFonts w:hint="eastAsia" w:asciiTheme="minorEastAsia" w:hAnsiTheme="minorEastAsia" w:eastAsiaTheme="minorEastAsia" w:cstheme="minorEastAsia"/>
                <w:sz w:val="21"/>
                <w:szCs w:val="21"/>
              </w:rPr>
              <w:t>业务人员：</w:t>
            </w:r>
            <w:r>
              <w:rPr>
                <w:rFonts w:hint="eastAsia" w:asciiTheme="minorEastAsia" w:hAnsiTheme="minorEastAsia" w:eastAsiaTheme="minorEastAsia" w:cstheme="minorEastAsia"/>
                <w:sz w:val="21"/>
                <w:szCs w:val="21"/>
                <w:lang w:val="en-US" w:eastAsia="zh-CN"/>
              </w:rPr>
              <w:t>蒋小山、周雪平、陈建辉 ，在顾客要求的确定、合同签订、货品验收签订等进行</w:t>
            </w:r>
            <w:r>
              <w:rPr>
                <w:rFonts w:hint="eastAsia" w:asciiTheme="minorEastAsia" w:hAnsiTheme="minorEastAsia" w:eastAsiaTheme="minorEastAsia" w:cstheme="minorEastAsia"/>
                <w:sz w:val="21"/>
                <w:szCs w:val="21"/>
              </w:rPr>
              <w:t>综合评价：该部门各项流程按规定实施，符合程序和合同要求。</w:t>
            </w:r>
          </w:p>
          <w:p>
            <w:pPr>
              <w:pStyle w:val="16"/>
              <w:spacing w:line="360" w:lineRule="auto"/>
              <w:ind w:left="0" w:firstLine="48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（4）产品发货前开具发货单，装车人员核对产品名称、规格、数量、外观质量状况，无误后把装车。</w:t>
            </w:r>
          </w:p>
          <w:p>
            <w:pPr>
              <w:pStyle w:val="16"/>
              <w:spacing w:line="360" w:lineRule="auto"/>
              <w:ind w:left="0" w:firstLine="48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（5）售后服务客户考核，</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定期对</w:t>
            </w:r>
            <w:r>
              <w:rPr>
                <w:rFonts w:hint="eastAsia" w:asciiTheme="minorEastAsia" w:hAnsiTheme="minorEastAsia" w:eastAsiaTheme="minorEastAsia" w:cstheme="minorEastAsia"/>
                <w:sz w:val="21"/>
                <w:szCs w:val="21"/>
                <w:lang w:eastAsia="zh-CN"/>
              </w:rPr>
              <w:t>业务部</w:t>
            </w:r>
            <w:r>
              <w:rPr>
                <w:rFonts w:hint="eastAsia" w:asciiTheme="minorEastAsia" w:hAnsiTheme="minorEastAsia" w:eastAsiaTheme="minorEastAsia" w:cstheme="minorEastAsia"/>
                <w:sz w:val="21"/>
                <w:szCs w:val="21"/>
              </w:rPr>
              <w:t>业务员的售后服务业绩进行考核。业务员填写售后服务记录，</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采用电话回访的方式进行考评。</w:t>
            </w:r>
          </w:p>
          <w:p>
            <w:pPr>
              <w:pStyle w:val="16"/>
              <w:spacing w:line="360" w:lineRule="auto"/>
              <w:ind w:left="0" w:leftChars="0" w:right="284" w:rightChars="0" w:firstLine="482" w:firstLineChars="0"/>
              <w:rPr>
                <w:rFonts w:hint="eastAsia"/>
                <w:color w:val="000000"/>
                <w:sz w:val="21"/>
                <w:szCs w:val="21"/>
                <w:lang w:eastAsia="zh-CN"/>
              </w:rPr>
            </w:pPr>
            <w:r>
              <w:rPr>
                <w:rFonts w:hint="eastAsia" w:asciiTheme="minorEastAsia" w:hAnsiTheme="minorEastAsia" w:eastAsiaTheme="minorEastAsia" w:cstheme="minorEastAsia"/>
                <w:sz w:val="21"/>
                <w:szCs w:val="21"/>
              </w:rPr>
              <w:t>公司产品监视和测量控制基本有效。</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707" w:type="dxa"/>
            <w:vAlign w:val="center"/>
          </w:tcPr>
          <w:p>
            <w:pPr>
              <w:rPr>
                <w:rFonts w:hint="eastAsia" w:ascii="宋体" w:hAnsi="宋体" w:eastAsia="宋体" w:cs="宋体"/>
                <w:sz w:val="21"/>
                <w:szCs w:val="21"/>
              </w:rPr>
            </w:pPr>
            <w:r>
              <w:rPr>
                <w:rFonts w:hint="eastAsia" w:asciiTheme="minorEastAsia" w:hAnsiTheme="minorEastAsia" w:eastAsiaTheme="minorEastAsia" w:cstheme="minorEastAsia"/>
                <w:sz w:val="21"/>
                <w:szCs w:val="21"/>
              </w:rPr>
              <w:t>不合格输出的控制</w:t>
            </w:r>
          </w:p>
        </w:tc>
        <w:tc>
          <w:tcPr>
            <w:tcW w:w="1019" w:type="dxa"/>
            <w:vAlign w:val="top"/>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Q:8.7 </w:t>
            </w:r>
          </w:p>
          <w:p>
            <w:pPr>
              <w:spacing w:line="360" w:lineRule="auto"/>
              <w:rPr>
                <w:rFonts w:hint="eastAsia" w:ascii="宋体" w:hAnsi="宋体" w:eastAsia="宋体" w:cs="宋体"/>
                <w:color w:val="000000"/>
                <w:sz w:val="21"/>
                <w:szCs w:val="21"/>
              </w:rPr>
            </w:pPr>
          </w:p>
        </w:tc>
        <w:tc>
          <w:tcPr>
            <w:tcW w:w="11223" w:type="dxa"/>
            <w:vAlign w:val="center"/>
          </w:tcPr>
          <w:p>
            <w:pPr>
              <w:keepNext w:val="0"/>
              <w:keepLines w:val="0"/>
              <w:pageBreakBefore w:val="0"/>
              <w:widowControl w:val="0"/>
              <w:kinsoku/>
              <w:wordWrap/>
              <w:overflowPunct/>
              <w:topLinePunct w:val="0"/>
              <w:autoSpaceDE/>
              <w:autoSpaceDN/>
              <w:bidi w:val="0"/>
              <w:spacing w:line="280" w:lineRule="exact"/>
              <w:ind w:firstLine="480"/>
              <w:textAlignment w:val="auto"/>
              <w:outlineLvl w:val="9"/>
              <w:rPr>
                <w:rFonts w:hint="eastAsia" w:ascii="宋体" w:hAnsi="宋体" w:eastAsia="宋体" w:cs="宋体"/>
                <w:sz w:val="21"/>
                <w:szCs w:val="21"/>
              </w:rPr>
            </w:pPr>
            <w:r>
              <w:rPr>
                <w:rFonts w:hint="eastAsia" w:ascii="宋体" w:hAnsi="宋体" w:eastAsia="宋体" w:cs="宋体"/>
                <w:sz w:val="21"/>
                <w:szCs w:val="21"/>
              </w:rPr>
              <w:t>公司编制并实施《不合格品控制程序》，采购产品不合格做退换货处理，销售产品不合格（顾客不满意）做调试或换货，顾客投诉，立即由</w:t>
            </w:r>
            <w:r>
              <w:rPr>
                <w:rFonts w:hint="eastAsia" w:ascii="宋体" w:hAnsi="宋体" w:cs="宋体"/>
                <w:sz w:val="21"/>
                <w:szCs w:val="21"/>
                <w:lang w:eastAsia="zh-CN"/>
              </w:rPr>
              <w:t>业务部</w:t>
            </w:r>
            <w:r>
              <w:rPr>
                <w:rFonts w:hint="eastAsia" w:ascii="宋体" w:hAnsi="宋体" w:eastAsia="宋体" w:cs="宋体"/>
                <w:sz w:val="21"/>
                <w:szCs w:val="21"/>
              </w:rPr>
              <w:t>进行处理。</w:t>
            </w:r>
          </w:p>
          <w:p>
            <w:pPr>
              <w:autoSpaceDE w:val="0"/>
              <w:autoSpaceDN w:val="0"/>
              <w:spacing w:line="360" w:lineRule="auto"/>
              <w:ind w:firstLine="420" w:firstLineChars="200"/>
              <w:rPr>
                <w:rFonts w:hint="eastAsia"/>
                <w:color w:val="000000"/>
                <w:sz w:val="21"/>
                <w:szCs w:val="21"/>
                <w:lang w:eastAsia="zh-CN"/>
              </w:rPr>
            </w:pPr>
            <w:r>
              <w:rPr>
                <w:rFonts w:hint="eastAsia" w:ascii="宋体" w:hAnsi="宋体" w:eastAsia="宋体" w:cs="宋体"/>
                <w:sz w:val="21"/>
                <w:szCs w:val="21"/>
                <w:lang w:eastAsia="zh-CN"/>
              </w:rPr>
              <w:t>本周期</w:t>
            </w:r>
            <w:r>
              <w:rPr>
                <w:rFonts w:hint="eastAsia" w:ascii="宋体" w:hAnsi="宋体" w:eastAsia="宋体" w:cs="宋体"/>
                <w:sz w:val="21"/>
                <w:szCs w:val="21"/>
              </w:rPr>
              <w:t>无产品不合格及客户</w:t>
            </w:r>
            <w:r>
              <w:rPr>
                <w:rFonts w:hint="eastAsia" w:ascii="宋体" w:hAnsi="宋体" w:eastAsia="宋体" w:cs="宋体"/>
                <w:sz w:val="21"/>
                <w:szCs w:val="21"/>
                <w:lang w:eastAsia="zh-CN"/>
              </w:rPr>
              <w:t>退换货和</w:t>
            </w:r>
            <w:r>
              <w:rPr>
                <w:rFonts w:hint="eastAsia" w:ascii="宋体" w:hAnsi="宋体" w:eastAsia="宋体" w:cs="宋体"/>
                <w:sz w:val="21"/>
                <w:szCs w:val="21"/>
              </w:rPr>
              <w:t>投诉。</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color w:val="000000"/>
                <w:sz w:val="21"/>
                <w:szCs w:val="21"/>
              </w:rPr>
            </w:pPr>
            <w:r>
              <w:rPr>
                <w:rFonts w:hint="eastAsia"/>
                <w:color w:val="000000"/>
                <w:sz w:val="21"/>
                <w:szCs w:val="21"/>
              </w:rPr>
              <w:t>顾客满意</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p>
        </w:tc>
        <w:tc>
          <w:tcPr>
            <w:tcW w:w="1019"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cs="宋体"/>
                <w:color w:val="000000"/>
                <w:sz w:val="21"/>
                <w:szCs w:val="21"/>
              </w:rPr>
            </w:pPr>
            <w:r>
              <w:rPr>
                <w:rFonts w:hint="eastAsia" w:ascii="宋体" w:hAnsi="宋体" w:eastAsia="宋体" w:cs="宋体"/>
                <w:color w:val="000000"/>
                <w:sz w:val="21"/>
                <w:szCs w:val="21"/>
              </w:rPr>
              <w:t>Q</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2</w:t>
            </w:r>
          </w:p>
        </w:tc>
        <w:tc>
          <w:tcPr>
            <w:tcW w:w="11223" w:type="dxa"/>
            <w:vAlign w:val="top"/>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color w:val="000000"/>
                <w:sz w:val="21"/>
                <w:szCs w:val="21"/>
              </w:rPr>
            </w:pPr>
            <w:r>
              <w:rPr>
                <w:rFonts w:hint="eastAsia"/>
                <w:color w:val="000000"/>
                <w:sz w:val="21"/>
                <w:szCs w:val="21"/>
              </w:rPr>
              <w:t>公司已建立和保持了《顾客满意度测定程序》，对顾客满意的监测的相关内容进行了规定，其包括了对调查方式、渠道、内容、频率等。</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color w:val="000000"/>
                <w:sz w:val="21"/>
                <w:szCs w:val="21"/>
              </w:rPr>
            </w:pPr>
            <w:r>
              <w:rPr>
                <w:rFonts w:hint="eastAsia"/>
                <w:color w:val="000000"/>
                <w:sz w:val="21"/>
                <w:szCs w:val="21"/>
              </w:rPr>
              <w:t>公司于内审前采取对主要顾客进行满意度调查的形式，共发出</w:t>
            </w:r>
            <w:r>
              <w:rPr>
                <w:rFonts w:hint="eastAsia"/>
                <w:color w:val="000000"/>
                <w:sz w:val="21"/>
                <w:szCs w:val="21"/>
                <w:lang w:val="en-US" w:eastAsia="zh-CN"/>
              </w:rPr>
              <w:t>2</w:t>
            </w:r>
            <w:r>
              <w:rPr>
                <w:rFonts w:hint="eastAsia"/>
                <w:color w:val="000000"/>
                <w:sz w:val="21"/>
                <w:szCs w:val="21"/>
              </w:rPr>
              <w:t>份《顾客满意度调查表》，有效回收：</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color w:val="000000"/>
                <w:sz w:val="21"/>
                <w:szCs w:val="21"/>
              </w:rPr>
            </w:pPr>
            <w:r>
              <w:rPr>
                <w:rFonts w:hint="eastAsia"/>
                <w:color w:val="000000"/>
                <w:sz w:val="21"/>
                <w:szCs w:val="21"/>
                <w:lang w:val="en-US" w:eastAsia="zh-CN"/>
              </w:rPr>
              <w:t>河南南阳宝座山陵园</w:t>
            </w:r>
            <w:r>
              <w:rPr>
                <w:rFonts w:hint="eastAsia"/>
                <w:color w:val="000000"/>
                <w:sz w:val="21"/>
                <w:szCs w:val="21"/>
                <w:lang w:eastAsia="zh-CN"/>
              </w:rPr>
              <w:t>、</w:t>
            </w:r>
            <w:r>
              <w:rPr>
                <w:rFonts w:hint="eastAsia"/>
                <w:color w:val="000000"/>
                <w:sz w:val="21"/>
                <w:szCs w:val="21"/>
                <w:lang w:val="en-US" w:eastAsia="zh-CN"/>
              </w:rPr>
              <w:t>成都市峰和石材有限公司2</w:t>
            </w:r>
            <w:r>
              <w:rPr>
                <w:rFonts w:hint="eastAsia"/>
                <w:color w:val="000000"/>
                <w:sz w:val="21"/>
                <w:szCs w:val="21"/>
                <w:lang w:val="en-US" w:eastAsia="zh-CN"/>
              </w:rPr>
              <w:t>家</w:t>
            </w:r>
            <w:r>
              <w:rPr>
                <w:rFonts w:hint="eastAsia"/>
                <w:color w:val="000000"/>
                <w:sz w:val="21"/>
                <w:szCs w:val="21"/>
              </w:rPr>
              <w:t>，调查内容有：</w:t>
            </w:r>
            <w:r>
              <w:rPr>
                <w:rFonts w:hint="eastAsia"/>
                <w:color w:val="000000"/>
                <w:sz w:val="21"/>
                <w:szCs w:val="21"/>
                <w:lang w:val="en-US" w:eastAsia="zh-CN"/>
              </w:rPr>
              <w:t>产品和</w:t>
            </w:r>
            <w:r>
              <w:rPr>
                <w:rFonts w:hint="eastAsia"/>
                <w:color w:val="000000"/>
                <w:sz w:val="21"/>
                <w:szCs w:val="21"/>
              </w:rPr>
              <w:t>服务质量、价格水平、服务态度等，查阅《顾客满意程度调查表》。</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color w:val="000000"/>
                <w:sz w:val="21"/>
                <w:szCs w:val="21"/>
              </w:rPr>
            </w:pPr>
            <w:r>
              <w:rPr>
                <w:rFonts w:hint="eastAsia"/>
                <w:color w:val="000000"/>
                <w:sz w:val="21"/>
                <w:szCs w:val="21"/>
              </w:rPr>
              <w:t>对每一调查内容按百分制统计和计算。</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color w:val="000000"/>
                <w:sz w:val="21"/>
                <w:szCs w:val="21"/>
              </w:rPr>
            </w:pPr>
            <w:r>
              <w:rPr>
                <w:rFonts w:hint="eastAsia"/>
                <w:color w:val="000000"/>
                <w:sz w:val="21"/>
                <w:szCs w:val="21"/>
              </w:rPr>
              <w:t>查《顾客满意程度调查表》，记录真实有效。</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color w:val="000000"/>
                <w:sz w:val="21"/>
                <w:szCs w:val="21"/>
              </w:rPr>
            </w:pPr>
            <w:r>
              <w:rPr>
                <w:rFonts w:hint="eastAsia"/>
                <w:color w:val="000000"/>
                <w:sz w:val="21"/>
                <w:szCs w:val="21"/>
              </w:rPr>
              <w:t>提供《顾客满意度统计分析表》，顾客满意率达到9</w:t>
            </w:r>
            <w:r>
              <w:rPr>
                <w:rFonts w:hint="eastAsia"/>
                <w:color w:val="000000"/>
                <w:sz w:val="21"/>
                <w:szCs w:val="21"/>
                <w:lang w:val="en-US" w:eastAsia="zh-CN"/>
              </w:rPr>
              <w:t>7</w:t>
            </w:r>
            <w:r>
              <w:rPr>
                <w:rFonts w:hint="eastAsia"/>
                <w:color w:val="000000"/>
                <w:sz w:val="21"/>
                <w:szCs w:val="21"/>
              </w:rPr>
              <w:t>%，达到了质量目标的要求。</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r>
              <w:rPr>
                <w:rFonts w:hint="eastAsia"/>
                <w:color w:val="000000"/>
                <w:sz w:val="21"/>
                <w:szCs w:val="21"/>
              </w:rPr>
              <w:t>调查未发现有顾客投诉</w:t>
            </w:r>
            <w:r>
              <w:rPr>
                <w:rFonts w:hint="eastAsia"/>
                <w:color w:val="000000"/>
                <w:sz w:val="21"/>
                <w:szCs w:val="21"/>
                <w:lang w:eastAsia="zh-CN"/>
              </w:rPr>
              <w:t>，不满意主要为价位偏高，公司根据市场同时加强管理降低成本适当降低售价，提高顾客满意度</w:t>
            </w:r>
            <w:r>
              <w:rPr>
                <w:rFonts w:hint="eastAsia"/>
                <w:color w:val="000000"/>
                <w:sz w:val="21"/>
                <w:szCs w:val="21"/>
              </w:rPr>
              <w:t>。</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vAlign w:val="center"/>
          </w:tcPr>
          <w:p>
            <w:pPr>
              <w:rPr>
                <w:rFonts w:hint="eastAsia" w:ascii="宋体" w:hAnsi="宋体" w:eastAsia="宋体" w:cs="宋体"/>
                <w:sz w:val="24"/>
                <w:szCs w:val="24"/>
              </w:rPr>
            </w:pPr>
            <w:r>
              <w:rPr>
                <w:rFonts w:hint="eastAsia" w:asciiTheme="minorEastAsia" w:hAnsiTheme="minorEastAsia" w:eastAsiaTheme="minorEastAsia" w:cstheme="minorEastAsia"/>
                <w:sz w:val="21"/>
                <w:szCs w:val="21"/>
              </w:rPr>
              <w:t>环境因素、危险源</w:t>
            </w:r>
          </w:p>
        </w:tc>
        <w:tc>
          <w:tcPr>
            <w:tcW w:w="1019"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w:t>
            </w:r>
          </w:p>
          <w:p>
            <w:pPr>
              <w:rPr>
                <w:rFonts w:hint="eastAsia" w:ascii="宋体" w:hAnsi="宋体" w:eastAsia="宋体" w:cs="宋体"/>
                <w:sz w:val="24"/>
                <w:szCs w:val="24"/>
              </w:rPr>
            </w:pPr>
            <w:r>
              <w:rPr>
                <w:rFonts w:hint="eastAsia" w:asciiTheme="minorEastAsia" w:hAnsiTheme="minorEastAsia" w:eastAsiaTheme="minorEastAsia" w:cstheme="minorEastAsia"/>
                <w:sz w:val="21"/>
                <w:szCs w:val="21"/>
              </w:rPr>
              <w:t>6.1.2</w:t>
            </w:r>
          </w:p>
        </w:tc>
        <w:tc>
          <w:tcPr>
            <w:tcW w:w="11223" w:type="dxa"/>
            <w:vAlign w:val="center"/>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查有：《</w:t>
            </w:r>
            <w:r>
              <w:rPr>
                <w:rFonts w:hint="eastAsia"/>
              </w:rPr>
              <w:t>环境因素、危险源识别评价控制程序</w:t>
            </w:r>
            <w:r>
              <w:rPr>
                <w:rFonts w:hint="eastAsia" w:asciiTheme="minorEastAsia" w:hAnsiTheme="minorEastAsia" w:eastAsiaTheme="minorEastAsia" w:cstheme="minorEastAsia"/>
                <w:sz w:val="21"/>
                <w:szCs w:val="21"/>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查《环境因素调查评价表 》，识别考虑了正常、异常</w:t>
            </w:r>
            <w:r>
              <w:rPr>
                <w:rFonts w:hint="eastAsia" w:asciiTheme="minorEastAsia" w:hAnsiTheme="minorEastAsia" w:eastAsiaTheme="minorEastAsia" w:cstheme="minorEastAsia"/>
                <w:bCs/>
                <w:sz w:val="21"/>
                <w:szCs w:val="21"/>
                <w:lang w:val="en-US" w:eastAsia="zh-CN"/>
              </w:rPr>
              <w:t>情况</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针对</w:t>
            </w:r>
            <w:r>
              <w:rPr>
                <w:rFonts w:hint="eastAsia" w:asciiTheme="minorEastAsia" w:hAnsiTheme="minorEastAsia" w:eastAsiaTheme="minorEastAsia" w:cstheme="minorEastAsia"/>
                <w:bCs/>
                <w:sz w:val="21"/>
                <w:szCs w:val="21"/>
              </w:rPr>
              <w:t>现在</w:t>
            </w:r>
            <w:r>
              <w:rPr>
                <w:rFonts w:hint="eastAsia" w:asciiTheme="minorEastAsia" w:hAnsiTheme="minorEastAsia" w:eastAsiaTheme="minorEastAsia" w:cstheme="minorEastAsia"/>
                <w:bCs/>
                <w:sz w:val="21"/>
                <w:szCs w:val="21"/>
                <w:lang w:val="en-US" w:eastAsia="zh-CN"/>
              </w:rPr>
              <w:t>一</w:t>
            </w:r>
            <w:r>
              <w:rPr>
                <w:rFonts w:hint="eastAsia" w:asciiTheme="minorEastAsia" w:hAnsiTheme="minorEastAsia" w:eastAsiaTheme="minorEastAsia" w:cstheme="minorEastAsia"/>
                <w:bCs/>
                <w:sz w:val="21"/>
                <w:szCs w:val="21"/>
              </w:rPr>
              <w:t>种时态，考虑了供方、客户等可施加影响的环境因素。其中办公主要有水、电、纸张资源及生活固废等，识别时能考虑产品生命周期观点。</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涉及本部门的环境因素有办公活动中生活垃圾排放、汽车维修固废排放、纸张等办公废品排放、墨盒、废旧电池等废品排放、火灾事故发生等。</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查《重要环境因素清单》，评价出固体废弃物排放、火灾事故的发生等2项重要环境因素。</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经评价本部门的重要环境因素为日常办公过程中固体废弃物排放、火灾事故的发生等2项重要环境因素。</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控制措施：固废分类存放、办公危废交耗材供应公司，垃圾由环卫部门拉走，包装物分类卖掉，日常检查，日常培训教育，消防配备消防器材</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应急演练</w:t>
            </w:r>
            <w:r>
              <w:rPr>
                <w:rFonts w:hint="eastAsia" w:asciiTheme="minorEastAsia" w:hAnsiTheme="minorEastAsia" w:eastAsiaTheme="minorEastAsia" w:cstheme="minorEastAsia"/>
                <w:sz w:val="21"/>
                <w:szCs w:val="21"/>
              </w:rPr>
              <w:t>等措施。</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查《危险源辩识及风险评价表》，识别办公</w:t>
            </w:r>
            <w:r>
              <w:rPr>
                <w:rFonts w:hint="eastAsia" w:asciiTheme="minorEastAsia" w:hAnsiTheme="minorEastAsia" w:eastAsiaTheme="minorEastAsia" w:cstheme="minorEastAsia"/>
                <w:sz w:val="21"/>
                <w:szCs w:val="21"/>
                <w:lang w:val="en-US" w:eastAsia="zh-CN"/>
              </w:rPr>
              <w:t>等</w:t>
            </w:r>
            <w:r>
              <w:rPr>
                <w:rFonts w:hint="eastAsia" w:asciiTheme="minorEastAsia" w:hAnsiTheme="minorEastAsia" w:eastAsiaTheme="minorEastAsia" w:cstheme="minorEastAsia"/>
                <w:sz w:val="21"/>
                <w:szCs w:val="21"/>
              </w:rPr>
              <w:t>活动过程中的危险源。包括办公等过程中的办公设备使用、办公车辆使用等使用不当导致人身伤害、外来人员安全措施不当造成的火灾和人身伤害，</w:t>
            </w:r>
            <w:r>
              <w:rPr>
                <w:rFonts w:hint="eastAsia" w:asciiTheme="minorEastAsia" w:hAnsiTheme="minorEastAsia" w:eastAsiaTheme="minorEastAsia" w:cstheme="minorEastAsia"/>
                <w:sz w:val="21"/>
                <w:szCs w:val="21"/>
                <w:lang w:val="en-US" w:eastAsia="zh-CN"/>
              </w:rPr>
              <w:t>交通</w:t>
            </w:r>
            <w:r>
              <w:rPr>
                <w:rFonts w:hint="eastAsia" w:asciiTheme="minorEastAsia" w:hAnsiTheme="minorEastAsia" w:eastAsiaTheme="minorEastAsia" w:cstheme="minorEastAsia"/>
                <w:sz w:val="21"/>
                <w:szCs w:val="21"/>
              </w:rPr>
              <w:t>事故等。</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涉及本部门的危险源有办公活动过程中电脑辐射、被桌柜撞伤、线路老化</w:t>
            </w:r>
            <w:r>
              <w:rPr>
                <w:rFonts w:hint="eastAsia" w:asciiTheme="minorEastAsia" w:hAnsiTheme="minorEastAsia" w:eastAsiaTheme="minorEastAsia" w:cstheme="minorEastAsia"/>
                <w:sz w:val="21"/>
                <w:szCs w:val="21"/>
                <w:lang w:val="en-US" w:eastAsia="zh-CN"/>
              </w:rPr>
              <w:t>导致火灾或触电</w:t>
            </w:r>
            <w:r>
              <w:rPr>
                <w:rFonts w:hint="eastAsia" w:asciiTheme="minorEastAsia" w:hAnsiTheme="minorEastAsia" w:eastAsiaTheme="minorEastAsia" w:cstheme="minorEastAsia"/>
                <w:sz w:val="21"/>
                <w:szCs w:val="21"/>
              </w:rPr>
              <w:t>，外来人员安全措施不当造成的火灾和人身伤害等。</w:t>
            </w:r>
          </w:p>
          <w:p>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查《不可接受风险清单》，评价出重大危险源</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个，包括：火灾、人员伤害</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疫情伤害</w:t>
            </w:r>
            <w:r>
              <w:rPr>
                <w:rFonts w:hint="eastAsia" w:asciiTheme="minorEastAsia" w:hAnsiTheme="minorEastAsia" w:eastAsiaTheme="minorEastAsia" w:cstheme="minorEastAsia"/>
                <w:sz w:val="21"/>
                <w:szCs w:val="21"/>
              </w:rPr>
              <w:t>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制订了相应的管理方案并已实施。</w:t>
            </w:r>
          </w:p>
          <w:p>
            <w:pPr>
              <w:spacing w:line="360" w:lineRule="auto"/>
              <w:ind w:firstLine="420" w:firstLineChars="200"/>
              <w:rPr>
                <w:rFonts w:hint="eastAsia"/>
                <w:color w:val="000000"/>
                <w:sz w:val="21"/>
                <w:szCs w:val="21"/>
              </w:rPr>
            </w:pPr>
            <w:r>
              <w:rPr>
                <w:rFonts w:hint="eastAsia" w:asciiTheme="minorEastAsia" w:hAnsiTheme="minorEastAsia" w:eastAsiaTheme="minorEastAsia" w:cstheme="minorEastAsia"/>
                <w:sz w:val="21"/>
                <w:szCs w:val="21"/>
              </w:rPr>
              <w:t>危险源控制执行管理方案、配备消防器材、个体防护、日常检查、日常培训教育等运行控制措施等。</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vAlign w:val="top"/>
          </w:tcPr>
          <w:p>
            <w:pPr>
              <w:spacing w:line="280" w:lineRule="exact"/>
              <w:rPr>
                <w:rFonts w:hint="eastAsia" w:ascii="宋体" w:hAnsi="宋体" w:eastAsia="宋体" w:cs="宋体"/>
                <w:sz w:val="24"/>
                <w:szCs w:val="24"/>
              </w:rPr>
            </w:pPr>
            <w:r>
              <w:rPr>
                <w:rFonts w:hint="eastAsia"/>
                <w:color w:val="000000"/>
                <w:sz w:val="21"/>
                <w:szCs w:val="21"/>
              </w:rPr>
              <w:t>运行控制</w:t>
            </w:r>
          </w:p>
        </w:tc>
        <w:tc>
          <w:tcPr>
            <w:tcW w:w="1019" w:type="dxa"/>
            <w:vAlign w:val="top"/>
          </w:tcPr>
          <w:p>
            <w:pPr>
              <w:spacing w:line="280" w:lineRule="exact"/>
              <w:rPr>
                <w:color w:val="000000"/>
                <w:sz w:val="21"/>
                <w:szCs w:val="21"/>
              </w:rPr>
            </w:pPr>
            <w:r>
              <w:rPr>
                <w:rFonts w:hint="eastAsia"/>
                <w:color w:val="000000"/>
                <w:sz w:val="21"/>
                <w:szCs w:val="21"/>
              </w:rPr>
              <w:t>E</w:t>
            </w:r>
            <w:r>
              <w:rPr>
                <w:rFonts w:hint="eastAsia"/>
                <w:color w:val="000000"/>
                <w:sz w:val="21"/>
                <w:szCs w:val="21"/>
                <w:lang w:eastAsia="zh-CN"/>
              </w:rPr>
              <w:t>O</w:t>
            </w:r>
            <w:r>
              <w:rPr>
                <w:rFonts w:hint="eastAsia"/>
                <w:color w:val="000000"/>
                <w:sz w:val="21"/>
                <w:szCs w:val="21"/>
              </w:rPr>
              <w:t>8.1</w:t>
            </w:r>
          </w:p>
          <w:p>
            <w:pPr>
              <w:spacing w:line="280" w:lineRule="exact"/>
              <w:rPr>
                <w:rFonts w:hint="eastAsia" w:ascii="宋体" w:hAnsi="宋体" w:eastAsia="宋体" w:cs="宋体"/>
                <w:sz w:val="24"/>
                <w:szCs w:val="24"/>
              </w:rPr>
            </w:pPr>
          </w:p>
        </w:tc>
        <w:tc>
          <w:tcPr>
            <w:tcW w:w="1122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color w:val="000000"/>
                <w:sz w:val="21"/>
                <w:szCs w:val="21"/>
              </w:rPr>
            </w:pPr>
            <w:r>
              <w:rPr>
                <w:rFonts w:hint="eastAsia"/>
                <w:color w:val="000000"/>
                <w:sz w:val="21"/>
                <w:szCs w:val="21"/>
              </w:rPr>
              <w:t>1.编制并实施《消防安全管理程序》、《相关方管理程序》、《环境保护管理办法》、《物品搬运运输管理制度》、《固体废弃物控制程序》、《火灾应急响应规范》、《职工安全守则》等环境、职业健康安全控制程序和管理制度。</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color w:val="000000"/>
                <w:sz w:val="21"/>
                <w:szCs w:val="21"/>
              </w:rPr>
            </w:pPr>
            <w:r>
              <w:rPr>
                <w:rFonts w:hint="eastAsia"/>
                <w:color w:val="000000"/>
                <w:sz w:val="21"/>
                <w:szCs w:val="21"/>
              </w:rPr>
              <w:t>2.销售流程</w:t>
            </w:r>
            <w:r>
              <w:rPr>
                <w:rFonts w:hint="eastAsia"/>
                <w:color w:val="000000"/>
                <w:sz w:val="21"/>
                <w:szCs w:val="21"/>
                <w:lang w:val="en-US" w:eastAsia="zh-CN"/>
              </w:rPr>
              <w:t>见Q8.1记录</w:t>
            </w:r>
            <w:r>
              <w:rPr>
                <w:rFonts w:hint="eastAsia"/>
                <w:color w:val="000000"/>
                <w:sz w:val="21"/>
                <w:szCs w:val="21"/>
              </w:rPr>
              <w:t>。</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color w:val="000000"/>
                <w:sz w:val="21"/>
                <w:szCs w:val="21"/>
              </w:rPr>
            </w:pPr>
            <w:r>
              <w:rPr>
                <w:rFonts w:hint="eastAsia"/>
                <w:color w:val="000000"/>
                <w:sz w:val="21"/>
                <w:szCs w:val="21"/>
              </w:rPr>
              <w:t>3.公司目前销售的产品主要是：</w:t>
            </w:r>
            <w:r>
              <w:rPr>
                <w:rFonts w:hint="eastAsia" w:ascii="宋体" w:hAnsi="宋体"/>
                <w:szCs w:val="21"/>
                <w:lang w:eastAsia="zh-CN"/>
              </w:rPr>
              <w:t>石材制品、石雕工艺品、墓碑的销售（法规强制要求范围除外），</w:t>
            </w:r>
            <w:r>
              <w:rPr>
                <w:rFonts w:hint="eastAsia"/>
                <w:color w:val="000000"/>
                <w:sz w:val="21"/>
                <w:szCs w:val="21"/>
              </w:rPr>
              <w:t>产品全部由</w:t>
            </w:r>
            <w:r>
              <w:rPr>
                <w:rFonts w:hint="eastAsia"/>
                <w:color w:val="000000"/>
                <w:sz w:val="21"/>
                <w:szCs w:val="21"/>
                <w:lang w:val="en-US" w:eastAsia="zh-CN"/>
              </w:rPr>
              <w:t>供方受审核方</w:t>
            </w:r>
            <w:r>
              <w:rPr>
                <w:rFonts w:hint="eastAsia"/>
                <w:color w:val="000000"/>
                <w:sz w:val="21"/>
                <w:szCs w:val="21"/>
              </w:rPr>
              <w:t>提供。</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color w:val="000000"/>
                <w:sz w:val="21"/>
                <w:szCs w:val="21"/>
              </w:rPr>
            </w:pPr>
            <w:r>
              <w:rPr>
                <w:rFonts w:hint="eastAsia"/>
                <w:color w:val="000000"/>
                <w:sz w:val="21"/>
                <w:szCs w:val="21"/>
              </w:rPr>
              <w:t>4.本部门办公中所使用的办公用品均由公司</w:t>
            </w:r>
            <w:r>
              <w:rPr>
                <w:rFonts w:hint="eastAsia"/>
                <w:color w:val="000000"/>
                <w:sz w:val="21"/>
                <w:szCs w:val="21"/>
                <w:lang w:eastAsia="zh-CN"/>
              </w:rPr>
              <w:t>综合部</w:t>
            </w:r>
            <w:r>
              <w:rPr>
                <w:rFonts w:hint="eastAsia"/>
                <w:color w:val="000000"/>
                <w:sz w:val="21"/>
                <w:szCs w:val="21"/>
              </w:rPr>
              <w:t>负责统一打印、复印，产生的废弃物，由</w:t>
            </w:r>
            <w:r>
              <w:rPr>
                <w:rFonts w:hint="eastAsia"/>
                <w:color w:val="000000"/>
                <w:sz w:val="21"/>
                <w:szCs w:val="21"/>
                <w:lang w:eastAsia="zh-CN"/>
              </w:rPr>
              <w:t>综合部</w:t>
            </w:r>
            <w:r>
              <w:rPr>
                <w:rFonts w:hint="eastAsia"/>
                <w:color w:val="000000"/>
                <w:sz w:val="21"/>
                <w:szCs w:val="21"/>
              </w:rPr>
              <w:t>统一处理。</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color w:val="000000"/>
                <w:sz w:val="21"/>
                <w:szCs w:val="21"/>
              </w:rPr>
            </w:pPr>
            <w:r>
              <w:rPr>
                <w:rFonts w:hint="eastAsia"/>
                <w:color w:val="000000"/>
                <w:sz w:val="21"/>
                <w:szCs w:val="21"/>
              </w:rPr>
              <w:t>5.对可回收的固体废弃物，一部分由厂家回收，厂家不回收的公司统一回收再利用或由物资回收公司处理，不可回收的废弃物由公司</w:t>
            </w:r>
            <w:r>
              <w:rPr>
                <w:rFonts w:hint="eastAsia"/>
                <w:color w:val="000000"/>
                <w:sz w:val="21"/>
                <w:szCs w:val="21"/>
                <w:lang w:eastAsia="zh-CN"/>
              </w:rPr>
              <w:t>综合部</w:t>
            </w:r>
            <w:r>
              <w:rPr>
                <w:rFonts w:hint="eastAsia"/>
                <w:color w:val="000000"/>
                <w:sz w:val="21"/>
                <w:szCs w:val="21"/>
              </w:rPr>
              <w:t>统一处理，部门不单独处理。</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color w:val="000000"/>
                <w:sz w:val="21"/>
                <w:szCs w:val="21"/>
              </w:rPr>
            </w:pPr>
            <w:r>
              <w:rPr>
                <w:rFonts w:hint="eastAsia"/>
                <w:color w:val="000000"/>
                <w:sz w:val="21"/>
                <w:szCs w:val="21"/>
              </w:rPr>
              <w:t>6.</w:t>
            </w:r>
            <w:r>
              <w:rPr>
                <w:rFonts w:hint="eastAsia"/>
                <w:color w:val="000000"/>
                <w:sz w:val="21"/>
                <w:szCs w:val="21"/>
                <w:lang w:eastAsia="zh-CN"/>
              </w:rPr>
              <w:t>综合部</w:t>
            </w:r>
            <w:r>
              <w:rPr>
                <w:rFonts w:hint="eastAsia"/>
                <w:color w:val="000000"/>
                <w:sz w:val="21"/>
                <w:szCs w:val="21"/>
              </w:rPr>
              <w:t>和仓库内主要是电的使用，电器有漏电保护器，经常对电路、电源进行检查，</w:t>
            </w:r>
            <w:r>
              <w:rPr>
                <w:rFonts w:hint="eastAsia"/>
                <w:color w:val="000000"/>
                <w:sz w:val="21"/>
                <w:szCs w:val="21"/>
                <w:lang w:val="en-US" w:eastAsia="zh-CN"/>
              </w:rPr>
              <w:t>现场</w:t>
            </w:r>
            <w:r>
              <w:rPr>
                <w:rFonts w:hint="eastAsia"/>
                <w:color w:val="000000"/>
                <w:sz w:val="21"/>
                <w:szCs w:val="21"/>
              </w:rPr>
              <w:t>没有露电现象发生。</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color w:val="000000"/>
                <w:sz w:val="21"/>
                <w:szCs w:val="21"/>
              </w:rPr>
            </w:pPr>
            <w:r>
              <w:rPr>
                <w:rFonts w:hint="eastAsia"/>
                <w:color w:val="000000"/>
                <w:sz w:val="21"/>
                <w:szCs w:val="21"/>
              </w:rPr>
              <w:t>7.建立并实施了《相关方管理程序》，提供《对相关方施加影响记录表》，对所有采购物资相关方施加影响，内容:将公司的环境/职业健康安全方针、重要环境因素/危险源等，通过传真发函的方式通知对方。</w:t>
            </w:r>
            <w:r>
              <w:rPr>
                <w:rFonts w:hint="eastAsia"/>
                <w:color w:val="000000"/>
                <w:sz w:val="21"/>
                <w:szCs w:val="21"/>
                <w:lang w:eastAsia="zh-CN"/>
              </w:rPr>
              <w:t>业务部</w:t>
            </w:r>
            <w:r>
              <w:rPr>
                <w:rFonts w:hint="eastAsia"/>
                <w:color w:val="000000"/>
                <w:sz w:val="21"/>
                <w:szCs w:val="21"/>
              </w:rPr>
              <w:t>向供应商发放《致供应商函》，显示的内容中包括本公司采购产品的理化性能造成的环境影响或可能造成的影响，对使用该种物料的员工的要求，供应商在运输这些物料所使用的贮存容器、运输方式对环境和职业健康的影响，到本公司减速慢行、运输路上每4个小时休息1次；要求外来人员在本公司处不得吸烟，不得来回走动，遵守公司的规章制度等</w:t>
            </w:r>
            <w:r>
              <w:rPr>
                <w:rFonts w:hint="eastAsia"/>
                <w:color w:val="000000"/>
                <w:sz w:val="21"/>
                <w:szCs w:val="21"/>
                <w:lang w:eastAsia="zh-CN"/>
              </w:rPr>
              <w:t>，</w:t>
            </w:r>
            <w:r>
              <w:rPr>
                <w:rFonts w:hint="eastAsia"/>
                <w:color w:val="000000"/>
                <w:sz w:val="21"/>
                <w:szCs w:val="21"/>
              </w:rPr>
              <w:t>对供应商施加影响还包括在评定供应商时，获取质量、环境、职业健康安全管理体系证书则优先，产品必须用环保无毒无害材料、无尖角毛刺等措施。</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default"/>
                <w:color w:val="000000"/>
                <w:sz w:val="21"/>
                <w:szCs w:val="21"/>
                <w:lang w:val="en-US" w:eastAsia="zh-CN"/>
              </w:rPr>
            </w:pPr>
            <w:bookmarkStart w:id="3" w:name="_GoBack"/>
            <w:r>
              <w:rPr>
                <w:rFonts w:hint="eastAsia"/>
                <w:color w:val="000000"/>
                <w:sz w:val="21"/>
                <w:szCs w:val="21"/>
                <w:lang w:val="en-US" w:eastAsia="zh-CN"/>
              </w:rPr>
              <w:t>现场查看相关方告知书：2020年。5月20号针对成都市峰和石材有限公司相关人员：林云峰的告知书；2020年7月22号针对厦门励益进出口有限公司相关人员：谢福英的告知书。</w:t>
            </w:r>
          </w:p>
          <w:bookmarkEnd w:id="3"/>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color w:val="000000"/>
                <w:sz w:val="21"/>
                <w:szCs w:val="21"/>
              </w:rPr>
            </w:pPr>
            <w:r>
              <w:rPr>
                <w:rFonts w:hint="eastAsia"/>
                <w:color w:val="000000"/>
                <w:sz w:val="21"/>
                <w:szCs w:val="21"/>
                <w:lang w:val="en-US" w:eastAsia="zh-CN"/>
              </w:rPr>
              <w:t>8</w:t>
            </w:r>
            <w:r>
              <w:rPr>
                <w:rFonts w:hint="eastAsia"/>
                <w:color w:val="000000"/>
                <w:sz w:val="21"/>
                <w:szCs w:val="21"/>
              </w:rPr>
              <w:t>.对外招投标和业务洽谈时明确承诺公司产品环保、无毒无害。</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eastAsia="宋体"/>
                <w:color w:val="000000"/>
                <w:sz w:val="21"/>
                <w:szCs w:val="21"/>
                <w:lang w:val="en-US" w:eastAsia="zh-CN"/>
              </w:rPr>
            </w:pPr>
            <w:r>
              <w:rPr>
                <w:rFonts w:hint="eastAsia"/>
                <w:color w:val="000000"/>
                <w:sz w:val="21"/>
                <w:szCs w:val="21"/>
                <w:lang w:val="en-US" w:eastAsia="zh-CN"/>
              </w:rPr>
              <w:t>9.社保。为主要员工每月按期缴纳社保，详见审核综合部该条款记录。</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color w:val="000000"/>
                <w:sz w:val="21"/>
                <w:szCs w:val="21"/>
              </w:rPr>
            </w:pP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707" w:type="dxa"/>
            <w:vAlign w:val="center"/>
          </w:tcPr>
          <w:p>
            <w:pPr>
              <w:snapToGrid w:val="0"/>
              <w:spacing w:line="280" w:lineRule="exact"/>
              <w:ind w:firstLine="420" w:firstLineChars="200"/>
              <w:jc w:val="left"/>
              <w:rPr>
                <w:rFonts w:hint="eastAsia" w:ascii="宋体" w:hAnsi="宋体" w:cs="宋体"/>
                <w:sz w:val="21"/>
                <w:szCs w:val="21"/>
              </w:rPr>
            </w:pPr>
            <w:r>
              <w:rPr>
                <w:rFonts w:hint="eastAsia" w:ascii="宋体" w:hAnsi="宋体" w:cs="宋体"/>
                <w:sz w:val="21"/>
                <w:szCs w:val="21"/>
              </w:rPr>
              <w:t>应急准备和响应</w:t>
            </w:r>
          </w:p>
        </w:tc>
        <w:tc>
          <w:tcPr>
            <w:tcW w:w="1019" w:type="dxa"/>
            <w:vAlign w:val="center"/>
          </w:tcPr>
          <w:p>
            <w:pPr>
              <w:snapToGrid w:val="0"/>
              <w:spacing w:line="280" w:lineRule="exact"/>
              <w:jc w:val="left"/>
              <w:rPr>
                <w:rFonts w:hint="eastAsia" w:ascii="宋体" w:hAnsi="宋体" w:cs="宋体"/>
                <w:sz w:val="21"/>
                <w:szCs w:val="21"/>
              </w:rPr>
            </w:pPr>
            <w:r>
              <w:rPr>
                <w:rFonts w:hint="eastAsia" w:ascii="宋体" w:hAnsi="宋体" w:cs="宋体"/>
                <w:sz w:val="21"/>
                <w:szCs w:val="21"/>
              </w:rPr>
              <w:t>E/</w:t>
            </w:r>
            <w:r>
              <w:rPr>
                <w:rFonts w:hint="eastAsia" w:ascii="宋体" w:hAnsi="宋体" w:cs="宋体"/>
                <w:sz w:val="21"/>
                <w:szCs w:val="21"/>
                <w:lang w:eastAsia="zh-CN"/>
              </w:rPr>
              <w:t>O</w:t>
            </w:r>
            <w:r>
              <w:rPr>
                <w:rFonts w:hint="eastAsia" w:ascii="宋体" w:hAnsi="宋体" w:cs="宋体"/>
                <w:sz w:val="21"/>
                <w:szCs w:val="21"/>
              </w:rPr>
              <w:t>：8.2</w:t>
            </w:r>
          </w:p>
        </w:tc>
        <w:tc>
          <w:tcPr>
            <w:tcW w:w="11223" w:type="dxa"/>
            <w:vAlign w:val="top"/>
          </w:tcPr>
          <w:p>
            <w:pPr>
              <w:snapToGrid w:val="0"/>
              <w:spacing w:line="280" w:lineRule="exact"/>
              <w:ind w:firstLine="420" w:firstLineChars="200"/>
              <w:jc w:val="left"/>
              <w:rPr>
                <w:rFonts w:hint="eastAsia"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lang w:val="en-US" w:eastAsia="zh-CN"/>
              </w:rPr>
              <w:t>业务部执行综合部应急准备和响应程序，见审核综合部该条款记录</w:t>
            </w:r>
            <w:r>
              <w:rPr>
                <w:rFonts w:hint="eastAsia" w:ascii="宋体" w:hAnsi="宋体" w:cs="宋体"/>
                <w:sz w:val="21"/>
                <w:szCs w:val="21"/>
              </w:rPr>
              <w:t>。</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符合</w:t>
            </w:r>
          </w:p>
        </w:tc>
      </w:tr>
    </w:tbl>
    <w:p>
      <w:pPr>
        <w:pStyle w:val="5"/>
        <w:rPr>
          <w:rFonts w:hint="eastAsia"/>
        </w:rPr>
      </w:pPr>
      <w:r>
        <w:rPr>
          <w:rFonts w:hint="eastAsia"/>
        </w:rPr>
        <w:t>说明：不符合标注N</w:t>
      </w: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w:t>
                </w:r>
                <w:r>
                  <w:rPr>
                    <w:rFonts w:hint="eastAsia"/>
                    <w:sz w:val="18"/>
                    <w:szCs w:val="18"/>
                    <w:lang w:eastAsia="zh-CN"/>
                  </w:rPr>
                  <w:t>O</w:t>
                </w:r>
                <w:r>
                  <w:rPr>
                    <w:rFonts w:hint="eastAsia"/>
                    <w:sz w:val="18"/>
                    <w:szCs w:val="18"/>
                  </w:rPr>
                  <w:t>C-B-I-19 管理体系审核记录表(03版)</w:t>
                </w:r>
              </w:p>
            </w:txbxContent>
          </v:textbox>
        </v:shape>
      </w:pict>
    </w:r>
    <w:r>
      <w:rPr>
        <w:rStyle w:val="13"/>
        <w:rFonts w:hint="default"/>
      </w:rPr>
      <w:t xml:space="preserve">        </w:t>
    </w:r>
    <w:r>
      <w:rPr>
        <w:rStyle w:val="13"/>
        <w:rFonts w:hint="default"/>
        <w:w w:val="90"/>
      </w:rPr>
      <w:t xml:space="preserve">Beijing International </w:t>
    </w:r>
    <w:r>
      <w:rPr>
        <w:rStyle w:val="13"/>
        <w:rFonts w:hint="eastAsia"/>
        <w:w w:val="90"/>
      </w:rPr>
      <w:t>O</w:t>
    </w:r>
    <w:r>
      <w:rPr>
        <w:rStyle w:val="13"/>
        <w:rFonts w:hint="default"/>
        <w:w w:val="90"/>
      </w:rPr>
      <w:t>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A54BD"/>
    <w:multiLevelType w:val="singleLevel"/>
    <w:tmpl w:val="558A54B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1A2D7F"/>
    <w:rsid w:val="00337922"/>
    <w:rsid w:val="00340867"/>
    <w:rsid w:val="00380837"/>
    <w:rsid w:val="003A198A"/>
    <w:rsid w:val="00410914"/>
    <w:rsid w:val="00536930"/>
    <w:rsid w:val="00564E53"/>
    <w:rsid w:val="00644FE2"/>
    <w:rsid w:val="0067640C"/>
    <w:rsid w:val="006E678B"/>
    <w:rsid w:val="007757F3"/>
    <w:rsid w:val="007E6AEB"/>
    <w:rsid w:val="008973EE"/>
    <w:rsid w:val="00971600"/>
    <w:rsid w:val="009973B4"/>
    <w:rsid w:val="009C28C1"/>
    <w:rsid w:val="009F7EED"/>
    <w:rsid w:val="00AF0AAB"/>
    <w:rsid w:val="00BF597E"/>
    <w:rsid w:val="00C51A36"/>
    <w:rsid w:val="00C55228"/>
    <w:rsid w:val="00CE315A"/>
    <w:rsid w:val="00D06F59"/>
    <w:rsid w:val="00D8388C"/>
    <w:rsid w:val="00EB0164"/>
    <w:rsid w:val="00ED0F62"/>
    <w:rsid w:val="0320505F"/>
    <w:rsid w:val="0378379C"/>
    <w:rsid w:val="04510B7D"/>
    <w:rsid w:val="08E60B71"/>
    <w:rsid w:val="0A8D103E"/>
    <w:rsid w:val="0ACE1CBC"/>
    <w:rsid w:val="0B5F07F0"/>
    <w:rsid w:val="0C1869EC"/>
    <w:rsid w:val="0C294383"/>
    <w:rsid w:val="0D9E0994"/>
    <w:rsid w:val="0E063427"/>
    <w:rsid w:val="0E891764"/>
    <w:rsid w:val="108219C2"/>
    <w:rsid w:val="108A0D67"/>
    <w:rsid w:val="117E71EC"/>
    <w:rsid w:val="136314F4"/>
    <w:rsid w:val="14257908"/>
    <w:rsid w:val="15D53416"/>
    <w:rsid w:val="16975B5C"/>
    <w:rsid w:val="16F65808"/>
    <w:rsid w:val="16F701BD"/>
    <w:rsid w:val="19BD6015"/>
    <w:rsid w:val="1A742241"/>
    <w:rsid w:val="1B3E39A3"/>
    <w:rsid w:val="1B405BB2"/>
    <w:rsid w:val="1B9E43FA"/>
    <w:rsid w:val="1BEC3BF1"/>
    <w:rsid w:val="1D85741F"/>
    <w:rsid w:val="1E847499"/>
    <w:rsid w:val="1F1F7BA7"/>
    <w:rsid w:val="1FD7676E"/>
    <w:rsid w:val="23351337"/>
    <w:rsid w:val="23557E88"/>
    <w:rsid w:val="24AD4883"/>
    <w:rsid w:val="25390A68"/>
    <w:rsid w:val="26B207F6"/>
    <w:rsid w:val="274E61F5"/>
    <w:rsid w:val="2767752B"/>
    <w:rsid w:val="27B61173"/>
    <w:rsid w:val="27DF7CD6"/>
    <w:rsid w:val="2C703113"/>
    <w:rsid w:val="2CF30AC4"/>
    <w:rsid w:val="2D9327E0"/>
    <w:rsid w:val="2E00760C"/>
    <w:rsid w:val="2EE93C61"/>
    <w:rsid w:val="2FEB299B"/>
    <w:rsid w:val="32691255"/>
    <w:rsid w:val="32C11AD5"/>
    <w:rsid w:val="34041CDB"/>
    <w:rsid w:val="3438524B"/>
    <w:rsid w:val="347A7706"/>
    <w:rsid w:val="34B32935"/>
    <w:rsid w:val="375F34D7"/>
    <w:rsid w:val="38894ECB"/>
    <w:rsid w:val="38F61C56"/>
    <w:rsid w:val="3AD826FA"/>
    <w:rsid w:val="3D744581"/>
    <w:rsid w:val="3DAD6D4F"/>
    <w:rsid w:val="40285D69"/>
    <w:rsid w:val="41842DAE"/>
    <w:rsid w:val="436F2755"/>
    <w:rsid w:val="466F33FE"/>
    <w:rsid w:val="48800E04"/>
    <w:rsid w:val="489C542B"/>
    <w:rsid w:val="494C5676"/>
    <w:rsid w:val="4ABE4B71"/>
    <w:rsid w:val="4BCE3348"/>
    <w:rsid w:val="4D943D2E"/>
    <w:rsid w:val="4E133598"/>
    <w:rsid w:val="4E95570D"/>
    <w:rsid w:val="50886C2D"/>
    <w:rsid w:val="52390AC9"/>
    <w:rsid w:val="56135BAC"/>
    <w:rsid w:val="56390FCA"/>
    <w:rsid w:val="563932E5"/>
    <w:rsid w:val="58322D49"/>
    <w:rsid w:val="5A526EF4"/>
    <w:rsid w:val="5AAA27E4"/>
    <w:rsid w:val="5BCC76FD"/>
    <w:rsid w:val="5DAB4DE2"/>
    <w:rsid w:val="5DAC4DCE"/>
    <w:rsid w:val="5E200E48"/>
    <w:rsid w:val="5EA12B9A"/>
    <w:rsid w:val="5EC96705"/>
    <w:rsid w:val="5ED74E33"/>
    <w:rsid w:val="61561089"/>
    <w:rsid w:val="65B35620"/>
    <w:rsid w:val="65B47E80"/>
    <w:rsid w:val="661149EF"/>
    <w:rsid w:val="6612664F"/>
    <w:rsid w:val="66B7462A"/>
    <w:rsid w:val="68EE481F"/>
    <w:rsid w:val="695E025E"/>
    <w:rsid w:val="6A23146B"/>
    <w:rsid w:val="6ADF4005"/>
    <w:rsid w:val="6D53402F"/>
    <w:rsid w:val="6F974183"/>
    <w:rsid w:val="6FFF1F7F"/>
    <w:rsid w:val="700D5C7C"/>
    <w:rsid w:val="7333596B"/>
    <w:rsid w:val="73A00EA2"/>
    <w:rsid w:val="74F27756"/>
    <w:rsid w:val="75A8368A"/>
    <w:rsid w:val="761F43CB"/>
    <w:rsid w:val="76373F2B"/>
    <w:rsid w:val="77310DBF"/>
    <w:rsid w:val="78741EB2"/>
    <w:rsid w:val="7AE70756"/>
    <w:rsid w:val="7B5C61FD"/>
    <w:rsid w:val="7C4566E1"/>
    <w:rsid w:val="7CE9234D"/>
    <w:rsid w:val="7E3319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80" w:firstLineChars="200"/>
    </w:pPr>
    <w:rPr>
      <w:sz w:val="24"/>
    </w:rPr>
  </w:style>
  <w:style w:type="paragraph" w:styleId="3">
    <w:name w:val="Plain Text"/>
    <w:basedOn w:val="1"/>
    <w:unhideWhenUsed/>
    <w:qFormat/>
    <w:uiPriority w:val="0"/>
    <w:rPr>
      <w:rFonts w:ascii="宋体" w:hAnsi="Courier New"/>
      <w:sz w:val="21"/>
    </w:rPr>
  </w:style>
  <w:style w:type="paragraph" w:styleId="4">
    <w:name w:val="Balloon Text"/>
    <w:basedOn w:val="1"/>
    <w:link w:val="12"/>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99"/>
    <w:rPr>
      <w:rFonts w:ascii="Times New Roman" w:hAnsi="Times New Roman" w:eastAsia="宋体" w:cs="Times New Roman"/>
      <w:sz w:val="18"/>
      <w:szCs w:val="18"/>
    </w:rPr>
  </w:style>
  <w:style w:type="character" w:customStyle="1" w:styleId="11">
    <w:name w:val="页脚 Char"/>
    <w:basedOn w:val="9"/>
    <w:link w:val="5"/>
    <w:qFormat/>
    <w:uiPriority w:val="99"/>
    <w:rPr>
      <w:rFonts w:ascii="Times New Roman" w:hAnsi="Times New Roman" w:eastAsia="宋体" w:cs="Times New Roman"/>
      <w:sz w:val="18"/>
      <w:szCs w:val="18"/>
    </w:rPr>
  </w:style>
  <w:style w:type="character" w:customStyle="1" w:styleId="12">
    <w:name w:val="批注框文本 Char"/>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_Style 2"/>
    <w:basedOn w:val="1"/>
    <w:qFormat/>
    <w:uiPriority w:val="34"/>
    <w:pPr>
      <w:ind w:firstLine="420" w:firstLineChars="200"/>
    </w:pPr>
    <w:rPr>
      <w:rFonts w:ascii="Calibri" w:hAnsi="Calibri"/>
      <w:szCs w:val="22"/>
    </w:rPr>
  </w:style>
  <w:style w:type="paragraph" w:customStyle="1" w:styleId="15">
    <w:name w:val="列出段落1"/>
    <w:basedOn w:val="1"/>
    <w:qFormat/>
    <w:uiPriority w:val="34"/>
    <w:pPr>
      <w:ind w:firstLine="420" w:firstLineChars="200"/>
    </w:pPr>
  </w:style>
  <w:style w:type="paragraph" w:customStyle="1" w:styleId="16">
    <w:name w:val="东方正文"/>
    <w:basedOn w:val="1"/>
    <w:qFormat/>
    <w:uiPriority w:val="0"/>
    <w:pPr>
      <w:spacing w:line="400" w:lineRule="exact"/>
      <w:ind w:left="284" w:right="284"/>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4</TotalTime>
  <ScaleCrop>false</ScaleCrop>
  <LinksUpToDate>false</LinksUpToDate>
  <CharactersWithSpaces>100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张磊</cp:lastModifiedBy>
  <dcterms:modified xsi:type="dcterms:W3CDTF">2020-12-15T07:57:56Z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