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天津金顺科技发展股份有限公司</w:t>
      </w:r>
    </w:p>
    <w:p>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hint="eastAsia" w:ascii="Times New Roman" w:hAnsi="Times New Roman" w:cs="Times New Roman"/>
          <w:sz w:val="32"/>
          <w:u w:val="single"/>
          <w:lang w:val="en-US" w:eastAsia="zh-CN"/>
        </w:rPr>
        <w:t>260</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9</w:t>
      </w:r>
      <w:r>
        <w:rPr>
          <w:rFonts w:ascii="Times New Roman" w:hAnsi="Times New Roman" w:cs="Times New Roman"/>
          <w:sz w:val="32"/>
          <w:u w:val="single"/>
        </w:rPr>
        <w:t>-2020</w:t>
      </w:r>
      <w:bookmarkEnd w:id="1"/>
    </w:p>
    <w:p>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260</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9</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570"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3585"/>
        <w:gridCol w:w="172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585"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天津金顺科技发展股份有限公司</w:t>
            </w:r>
          </w:p>
        </w:tc>
        <w:tc>
          <w:tcPr>
            <w:tcW w:w="172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565" w:type="dxa"/>
            <w:noWrap w:val="0"/>
            <w:vAlign w:val="top"/>
          </w:tcPr>
          <w:p>
            <w:pPr>
              <w:tabs>
                <w:tab w:val="left" w:pos="880"/>
              </w:tabs>
              <w:autoSpaceDE w:val="0"/>
              <w:autoSpaceDN w:val="0"/>
              <w:adjustRightInd w:val="0"/>
              <w:spacing w:before="35" w:line="360" w:lineRule="auto"/>
              <w:ind w:right="161" w:firstLine="210" w:firstLineChars="100"/>
              <w:rPr>
                <w:rFonts w:hint="eastAsia" w:ascii="宋体" w:eastAsia="宋体" w:cs="宋体"/>
                <w:kern w:val="0"/>
                <w:szCs w:val="21"/>
                <w:lang w:val="en-US" w:eastAsia="zh-CN"/>
              </w:rPr>
            </w:pPr>
            <w:r>
              <w:rPr>
                <w:rFonts w:hint="eastAsia" w:ascii="宋体" w:eastAsia="宋体" w:cs="宋体"/>
                <w:kern w:val="0"/>
                <w:szCs w:val="21"/>
                <w:lang w:val="en-US" w:eastAsia="zh-CN"/>
              </w:rPr>
              <w:t>朱云波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3585" w:type="dxa"/>
            <w:noWrap w:val="0"/>
            <w:vAlign w:val="top"/>
          </w:tcPr>
          <w:p>
            <w:pPr>
              <w:jc w:val="center"/>
              <w:rPr>
                <w:rFonts w:hint="default" w:ascii="宋体" w:eastAsiaTheme="minorEastAsia"/>
                <w:lang w:val="en-US" w:eastAsia="zh-CN"/>
              </w:rPr>
            </w:pPr>
            <w:r>
              <w:rPr>
                <w:rFonts w:ascii="宋体" w:hAnsi="宋体"/>
              </w:rPr>
              <w:t>ISC-201</w:t>
            </w:r>
            <w:r>
              <w:rPr>
                <w:rFonts w:hint="eastAsia" w:ascii="宋体" w:hAnsi="宋体"/>
                <w:lang w:val="en-US" w:eastAsia="zh-CN"/>
              </w:rPr>
              <w:t>9</w:t>
            </w:r>
            <w:r>
              <w:rPr>
                <w:rFonts w:ascii="宋体" w:hAnsi="宋体"/>
              </w:rPr>
              <w:t>-0</w:t>
            </w:r>
            <w:r>
              <w:rPr>
                <w:rFonts w:hint="eastAsia" w:ascii="宋体" w:hAnsi="宋体"/>
                <w:lang w:val="en-US" w:eastAsia="zh-CN"/>
              </w:rPr>
              <w:t>606</w:t>
            </w:r>
          </w:p>
        </w:tc>
        <w:tc>
          <w:tcPr>
            <w:tcW w:w="1725" w:type="dxa"/>
            <w:noWrap w:val="0"/>
            <w:vAlign w:val="top"/>
          </w:tcPr>
          <w:p>
            <w:pPr>
              <w:rPr>
                <w:rFonts w:ascii="宋体"/>
              </w:rPr>
            </w:pPr>
            <w:r>
              <w:rPr>
                <w:rFonts w:hint="eastAsia" w:ascii="宋体" w:hAnsi="宋体"/>
              </w:rPr>
              <w:t>证书有效期</w:t>
            </w:r>
          </w:p>
        </w:tc>
        <w:tc>
          <w:tcPr>
            <w:tcW w:w="2565" w:type="dxa"/>
            <w:noWrap w:val="0"/>
            <w:vAlign w:val="top"/>
          </w:tcPr>
          <w:p>
            <w:pPr>
              <w:rPr>
                <w:rFonts w:ascii="宋体"/>
              </w:rPr>
            </w:pPr>
            <w:r>
              <w:rPr>
                <w:rFonts w:ascii="宋体" w:hAnsi="宋体"/>
              </w:rPr>
              <w:t>202</w:t>
            </w:r>
            <w:r>
              <w:rPr>
                <w:rFonts w:hint="eastAsia" w:ascii="宋体" w:hAnsi="宋体"/>
                <w:lang w:val="en-US" w:eastAsia="zh-CN"/>
              </w:rPr>
              <w:t>4</w:t>
            </w:r>
            <w:r>
              <w:rPr>
                <w:rFonts w:hint="eastAsia" w:ascii="宋体" w:hAnsi="宋体"/>
              </w:rPr>
              <w:t>年</w:t>
            </w:r>
            <w:r>
              <w:rPr>
                <w:rFonts w:hint="eastAsia" w:ascii="宋体" w:hAnsi="宋体"/>
                <w:lang w:val="en-US" w:eastAsia="zh-CN"/>
              </w:rPr>
              <w:t>12</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24</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3585" w:type="dxa"/>
            <w:noWrap w:val="0"/>
            <w:vAlign w:val="top"/>
          </w:tcPr>
          <w:p>
            <w:pPr>
              <w:tabs>
                <w:tab w:val="left" w:pos="880"/>
              </w:tabs>
              <w:autoSpaceDE w:val="0"/>
              <w:autoSpaceDN w:val="0"/>
              <w:adjustRightInd w:val="0"/>
              <w:spacing w:before="35" w:line="276" w:lineRule="auto"/>
              <w:ind w:right="161" w:firstLine="735" w:firstLineChars="350"/>
              <w:jc w:val="center"/>
              <w:rPr>
                <w:rFonts w:ascii="宋体" w:cs="宋体"/>
                <w:kern w:val="0"/>
                <w:szCs w:val="21"/>
              </w:rPr>
            </w:pPr>
            <w:r>
              <w:rPr>
                <w:rFonts w:hint="eastAsia" w:ascii="宋体" w:cs="宋体"/>
                <w:kern w:val="0"/>
                <w:szCs w:val="21"/>
              </w:rPr>
              <w:t>第</w:t>
            </w:r>
            <w:r>
              <w:rPr>
                <w:rFonts w:hint="eastAsia" w:ascii="宋体" w:cs="宋体"/>
                <w:kern w:val="0"/>
                <w:szCs w:val="21"/>
                <w:lang w:eastAsia="zh-CN"/>
              </w:rPr>
              <w:t>一</w:t>
            </w:r>
            <w:r>
              <w:rPr>
                <w:rFonts w:hint="eastAsia" w:ascii="宋体" w:cs="宋体"/>
                <w:kern w:val="0"/>
                <w:szCs w:val="21"/>
              </w:rPr>
              <w:t>次</w:t>
            </w:r>
          </w:p>
        </w:tc>
        <w:tc>
          <w:tcPr>
            <w:tcW w:w="172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565"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监督审核员姓名及确认号</w:t>
            </w:r>
          </w:p>
        </w:tc>
        <w:tc>
          <w:tcPr>
            <w:tcW w:w="3585" w:type="dxa"/>
            <w:noWrap w:val="0"/>
            <w:vAlign w:val="top"/>
          </w:tcPr>
          <w:p>
            <w:pPr>
              <w:tabs>
                <w:tab w:val="left" w:pos="880"/>
              </w:tabs>
              <w:autoSpaceDE w:val="0"/>
              <w:autoSpaceDN w:val="0"/>
              <w:adjustRightInd w:val="0"/>
              <w:spacing w:before="35" w:line="276" w:lineRule="auto"/>
              <w:ind w:right="161"/>
              <w:jc w:val="both"/>
              <w:rPr>
                <w:rFonts w:hint="eastAsia" w:ascii="宋体" w:hAnsi="宋体"/>
                <w:sz w:val="24"/>
                <w:szCs w:val="24"/>
                <w:lang w:val="en-US" w:eastAsia="zh-CN"/>
              </w:rPr>
            </w:pPr>
            <w:r>
              <w:rPr>
                <w:rFonts w:hint="eastAsia" w:ascii="宋体" w:hAnsi="宋体"/>
                <w:sz w:val="24"/>
                <w:szCs w:val="24"/>
                <w:lang w:eastAsia="zh-CN"/>
              </w:rPr>
              <w:t>姜丽</w:t>
            </w:r>
            <w:r>
              <w:rPr>
                <w:rFonts w:ascii="宋体" w:hAnsi="宋体"/>
                <w:sz w:val="24"/>
                <w:szCs w:val="24"/>
              </w:rPr>
              <w:t xml:space="preserve">  ISC[S]00</w:t>
            </w:r>
            <w:r>
              <w:rPr>
                <w:rFonts w:hint="eastAsia" w:ascii="宋体" w:hAnsi="宋体"/>
                <w:sz w:val="24"/>
                <w:szCs w:val="24"/>
                <w:lang w:val="en-US" w:eastAsia="zh-CN"/>
              </w:rPr>
              <w:t>23</w:t>
            </w:r>
          </w:p>
          <w:p>
            <w:pPr>
              <w:tabs>
                <w:tab w:val="left" w:pos="880"/>
              </w:tabs>
              <w:autoSpaceDE w:val="0"/>
              <w:autoSpaceDN w:val="0"/>
              <w:adjustRightInd w:val="0"/>
              <w:spacing w:before="35" w:line="276" w:lineRule="auto"/>
              <w:ind w:right="161"/>
              <w:jc w:val="both"/>
              <w:rPr>
                <w:rFonts w:hint="default" w:ascii="宋体" w:hAnsi="宋体" w:eastAsiaTheme="minorEastAsia"/>
                <w:sz w:val="24"/>
                <w:szCs w:val="24"/>
                <w:lang w:val="en-US" w:eastAsia="zh-CN"/>
              </w:rPr>
            </w:pPr>
            <w:r>
              <w:rPr>
                <w:rFonts w:hint="eastAsia" w:ascii="宋体" w:hAnsi="宋体"/>
                <w:sz w:val="24"/>
                <w:szCs w:val="24"/>
                <w:lang w:val="en-US" w:eastAsia="zh-CN"/>
              </w:rPr>
              <w:t>宋丽莉</w:t>
            </w:r>
            <w:r>
              <w:rPr>
                <w:rFonts w:ascii="宋体" w:hAnsi="宋体"/>
                <w:sz w:val="24"/>
                <w:szCs w:val="24"/>
              </w:rPr>
              <w:t>ISC[S]0</w:t>
            </w:r>
            <w:r>
              <w:rPr>
                <w:rFonts w:hint="eastAsia" w:ascii="宋体" w:hAnsi="宋体"/>
                <w:sz w:val="24"/>
                <w:szCs w:val="24"/>
                <w:lang w:val="en-US" w:eastAsia="zh-CN"/>
              </w:rPr>
              <w:t>308</w:t>
            </w:r>
          </w:p>
        </w:tc>
        <w:tc>
          <w:tcPr>
            <w:tcW w:w="172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565"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szCs w:val="21"/>
                <w:lang w:val="en-US" w:eastAsia="zh-CN"/>
              </w:rPr>
              <w:t>行政部、质安部、生产部、市场部、</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天津金顺科技发展股份有限公司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天津金顺科技发展股份有限公司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10-11</w:t>
      </w:r>
      <w:r>
        <w:rPr>
          <w:rFonts w:ascii="Times New Roman" w:hAnsi="Times New Roman" w:cs="Times New Roman"/>
          <w:bCs/>
          <w:kern w:val="0"/>
          <w:szCs w:val="21"/>
          <w:highlight w:val="none"/>
        </w:rPr>
        <w:t>日，组织了公司测量管理体系内部审核。</w:t>
      </w:r>
      <w:r>
        <w:rPr>
          <w:rFonts w:hint="eastAsia" w:ascii="Times New Roman" w:hAnsi="Times New Roman" w:cs="Times New Roman"/>
          <w:bCs/>
          <w:kern w:val="0"/>
          <w:szCs w:val="21"/>
          <w:highlight w:val="none"/>
          <w:lang w:eastAsia="zh-CN"/>
        </w:rPr>
        <w:t>朱云波</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4</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12</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9</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22</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朱云波</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bookmarkStart w:id="3" w:name="审核范围"/>
      <w:r>
        <w:rPr>
          <w:rFonts w:hint="eastAsia" w:ascii="宋体" w:hAnsi="宋体"/>
          <w:szCs w:val="21"/>
        </w:rPr>
        <w:t>石油开采用工具的生产</w:t>
      </w:r>
      <w:bookmarkEnd w:id="3"/>
      <w:r>
        <w:rPr>
          <w:rFonts w:hint="eastAsia" w:ascii="宋体" w:hAnsi="宋体"/>
          <w:szCs w:val="21"/>
          <w:lang w:eastAsia="zh-CN"/>
        </w:rPr>
        <w:t>。质安部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default" w:ascii="Times New Roman" w:hAnsi="Times New Roman" w:cs="Times New Roman"/>
          <w:color w:val="000000"/>
          <w:sz w:val="21"/>
          <w:szCs w:val="21"/>
        </w:rPr>
        <w:t>成型丝宽度尺寸</w:t>
      </w:r>
      <w:r>
        <w:rPr>
          <w:rFonts w:hint="default" w:ascii="Times New Roman" w:hAnsi="Times New Roman" w:cs="Times New Roman"/>
          <w:color w:val="000000"/>
          <w:sz w:val="21"/>
          <w:szCs w:val="21"/>
          <w:lang w:eastAsia="zh-CN"/>
        </w:rPr>
        <w:t>测量过程</w:t>
      </w:r>
      <w:r>
        <w:rPr>
          <w:rFonts w:hint="eastAsia" w:ascii="宋体" w:hAnsi="宋体" w:cs="黑体"/>
          <w:szCs w:val="21"/>
        </w:rPr>
        <w:t>等</w:t>
      </w:r>
      <w:r>
        <w:rPr>
          <w:rFonts w:hint="eastAsia" w:ascii="宋体" w:hAnsi="宋体" w:cs="黑体"/>
          <w:szCs w:val="21"/>
          <w:lang w:val="en-US" w:eastAsia="zh-CN"/>
        </w:rPr>
        <w:t>64</w:t>
      </w:r>
      <w:r>
        <w:rPr>
          <w:rFonts w:hint="eastAsia" w:ascii="宋体" w:hAnsi="宋体"/>
          <w:b w:val="0"/>
          <w:bCs/>
          <w:snapToGrid w:val="0"/>
          <w:color w:val="auto"/>
          <w:kern w:val="0"/>
          <w:szCs w:val="21"/>
          <w:u w:val="none"/>
          <w:lang w:val="en-US" w:eastAsia="zh-CN"/>
        </w:rPr>
        <w:t>个</w:t>
      </w:r>
      <w:r>
        <w:rPr>
          <w:rFonts w:hint="eastAsia" w:ascii="宋体" w:hAnsi="宋体" w:cs="宋体"/>
          <w:bCs/>
          <w:kern w:val="0"/>
          <w:szCs w:val="21"/>
          <w:highlight w:val="none"/>
        </w:rPr>
        <w:t>测</w:t>
      </w:r>
      <w:r>
        <w:rPr>
          <w:rFonts w:hint="eastAsia" w:ascii="宋体" w:hAnsi="宋体" w:cs="宋体"/>
          <w:bCs/>
          <w:kern w:val="0"/>
          <w:szCs w:val="21"/>
        </w:rPr>
        <w:t>量过程</w:t>
      </w:r>
      <w:r>
        <w:rPr>
          <w:rFonts w:ascii="Times New Roman" w:hAnsi="Times New Roman" w:cs="Times New Roman"/>
          <w:bCs/>
          <w:kern w:val="0"/>
          <w:szCs w:val="21"/>
        </w:rPr>
        <w:t>，其中关键测量过程</w:t>
      </w:r>
      <w:r>
        <w:rPr>
          <w:rFonts w:hint="eastAsia" w:ascii="Times New Roman" w:hAnsi="Times New Roman" w:cs="Times New Roman"/>
          <w:bCs/>
          <w:kern w:val="0"/>
          <w:szCs w:val="21"/>
          <w:lang w:val="en-US" w:eastAsia="zh-CN"/>
        </w:rPr>
        <w:t>6</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111</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default" w:ascii="Times New Roman" w:hAnsi="Times New Roman" w:cs="Times New Roman"/>
          <w:color w:val="000000"/>
          <w:sz w:val="21"/>
          <w:szCs w:val="21"/>
        </w:rPr>
        <w:t>成型丝宽度尺寸</w:t>
      </w:r>
      <w:r>
        <w:rPr>
          <w:rFonts w:hint="default" w:ascii="Times New Roman" w:hAnsi="Times New Roman" w:cs="Times New Roman"/>
          <w:color w:val="000000"/>
          <w:sz w:val="21"/>
          <w:szCs w:val="21"/>
          <w:lang w:eastAsia="zh-CN"/>
        </w:rPr>
        <w:t>测量过程</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default" w:ascii="Times New Roman" w:hAnsi="Times New Roman" w:cs="Times New Roman"/>
          <w:color w:val="000000"/>
          <w:sz w:val="21"/>
          <w:szCs w:val="21"/>
        </w:rPr>
        <w:t>成型丝宽度尺寸</w:t>
      </w:r>
      <w:r>
        <w:rPr>
          <w:rFonts w:hint="default" w:ascii="Times New Roman" w:hAnsi="Times New Roman" w:cs="Times New Roman"/>
          <w:color w:val="000000"/>
          <w:sz w:val="21"/>
          <w:szCs w:val="21"/>
          <w:lang w:eastAsia="zh-CN"/>
        </w:rPr>
        <w:t>测量过程</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default" w:ascii="Times New Roman" w:hAnsi="Times New Roman" w:cs="Times New Roman"/>
          <w:color w:val="000000"/>
          <w:sz w:val="21"/>
          <w:szCs w:val="21"/>
        </w:rPr>
        <w:t>成型丝宽度尺寸</w:t>
      </w:r>
      <w:r>
        <w:rPr>
          <w:rFonts w:hint="default" w:ascii="Times New Roman" w:hAnsi="Times New Roman" w:cs="Times New Roman"/>
          <w:color w:val="000000"/>
          <w:sz w:val="21"/>
          <w:szCs w:val="21"/>
          <w:lang w:eastAsia="zh-CN"/>
        </w:rPr>
        <w:t>测量过程</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default" w:ascii="Times New Roman" w:hAnsi="Times New Roman" w:cs="Times New Roman"/>
          <w:color w:val="000000"/>
          <w:sz w:val="21"/>
          <w:szCs w:val="21"/>
        </w:rPr>
        <w:t>成型丝宽度尺寸</w:t>
      </w:r>
      <w:r>
        <w:rPr>
          <w:rFonts w:hint="default" w:ascii="Times New Roman" w:hAnsi="Times New Roman" w:cs="Times New Roman"/>
          <w:color w:val="000000"/>
          <w:sz w:val="21"/>
          <w:szCs w:val="21"/>
          <w:lang w:eastAsia="zh-CN"/>
        </w:rPr>
        <w:t>测量过程</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上年认证</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w:t>
      </w:r>
      <w:r>
        <w:rPr>
          <w:rFonts w:hint="eastAsia" w:ascii="宋体" w:hAnsi="宋体" w:eastAsia="宋体" w:cs="宋体"/>
          <w:b w:val="0"/>
          <w:bCs/>
          <w:color w:val="000000"/>
          <w:kern w:val="0"/>
          <w:szCs w:val="21"/>
          <w:lang w:eastAsia="zh-CN"/>
        </w:rPr>
        <w:t>查《合格供方台账》中洛氏硬度计校准服务的供方是“东莞市帝恩检测有限公司”，未提供出该供方的合格评价记录。</w:t>
      </w:r>
      <w:r>
        <w:rPr>
          <w:rFonts w:hint="eastAsia"/>
          <w:bCs/>
          <w:szCs w:val="21"/>
          <w:lang w:val="en-US"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项质量目标 ，是管理体系追求的承诺和准则，内容基本覆盖标准要素。公司对本年度质量目标</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分解</w:t>
      </w:r>
      <w:r>
        <w:rPr>
          <w:rFonts w:hint="eastAsia" w:ascii="Times New Roman" w:hAnsi="Times New Roman" w:cs="Times New Roman"/>
          <w:bCs/>
          <w:kern w:val="0"/>
          <w:szCs w:val="21"/>
          <w:lang w:eastAsia="zh-CN"/>
        </w:rPr>
        <w:t>，</w:t>
      </w:r>
      <w:bookmarkStart w:id="5" w:name="_GoBack"/>
      <w:bookmarkEnd w:id="5"/>
      <w:r>
        <w:rPr>
          <w:rFonts w:ascii="Times New Roman" w:hAnsi="Times New Roman" w:cs="Times New Roman"/>
          <w:bCs/>
          <w:kern w:val="0"/>
          <w:szCs w:val="21"/>
        </w:rPr>
        <w:t>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认证审核后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企业营业执照变更，（2020.01.10）见附件）经营范围增加。认证产品、组织机构等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美国贝克公司、大港油田、冀东油田、辽河油田、中石油、中石化等项目的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ascii="宋体" w:hAnsi="宋体" w:cs="宋体"/>
          <w:kern w:val="0"/>
          <w:szCs w:val="21"/>
        </w:rPr>
      </w:pPr>
      <w:r>
        <w:rPr>
          <w:rFonts w:hint="eastAsia" w:ascii="宋体" w:hAnsi="宋体" w:cs="宋体"/>
          <w:b/>
          <w:bCs/>
          <w:color w:val="000000" w:themeColor="text1"/>
          <w:kern w:val="0"/>
          <w:szCs w:val="21"/>
          <w:highlight w:val="none"/>
          <w:lang w:val="en-US" w:eastAsia="zh-CN"/>
        </w:rPr>
        <w:t>10.1</w:t>
      </w:r>
      <w:r>
        <w:rPr>
          <w:rFonts w:ascii="Times New Roman" w:hAnsi="Times New Roman"/>
          <w:kern w:val="0"/>
          <w:szCs w:val="21"/>
        </w:rPr>
        <w:t>编号</w:t>
      </w:r>
      <w:r>
        <w:rPr>
          <w:rFonts w:hint="eastAsia"/>
          <w:kern w:val="0"/>
          <w:szCs w:val="21"/>
        </w:rPr>
        <w:t>为IAA104282</w:t>
      </w:r>
      <w:r>
        <w:rPr>
          <w:rFonts w:ascii="Times New Roman" w:hAnsi="Times New Roman"/>
          <w:kern w:val="0"/>
          <w:szCs w:val="21"/>
        </w:rPr>
        <w:t>的</w:t>
      </w:r>
      <w:r>
        <w:rPr>
          <w:rFonts w:hint="eastAsia"/>
          <w:kern w:val="0"/>
          <w:szCs w:val="21"/>
        </w:rPr>
        <w:t>数显</w:t>
      </w:r>
      <w:r>
        <w:rPr>
          <w:rFonts w:ascii="Times New Roman" w:hAnsi="Times New Roman"/>
          <w:kern w:val="0"/>
          <w:szCs w:val="21"/>
        </w:rPr>
        <w:t>卡尺（0~</w:t>
      </w:r>
      <w:r>
        <w:rPr>
          <w:rFonts w:hint="eastAsia"/>
          <w:kern w:val="0"/>
          <w:szCs w:val="21"/>
        </w:rPr>
        <w:t>300</w:t>
      </w:r>
      <w:r>
        <w:rPr>
          <w:rFonts w:ascii="宋体" w:hAnsi="宋体"/>
          <w:kern w:val="0"/>
          <w:szCs w:val="21"/>
        </w:rPr>
        <w:t>）</w:t>
      </w:r>
      <w:r>
        <w:rPr>
          <w:rFonts w:hint="eastAsia" w:ascii="宋体" w:hAnsi="宋体"/>
          <w:kern w:val="0"/>
          <w:szCs w:val="21"/>
        </w:rPr>
        <w:t>㎜，在有效期内使用，计量确认标识脱落</w:t>
      </w:r>
      <w:r>
        <w:rPr>
          <w:rFonts w:hint="eastAsia"/>
          <w:szCs w:val="21"/>
        </w:rPr>
        <w:t>。</w:t>
      </w:r>
      <w:r>
        <w:rPr>
          <w:rFonts w:hint="eastAsia" w:ascii="宋体" w:hAnsi="宋体" w:cs="宋体"/>
          <w:kern w:val="0"/>
          <w:szCs w:val="21"/>
        </w:rPr>
        <w:t>不符合</w:t>
      </w:r>
      <w:r>
        <w:rPr>
          <w:rFonts w:ascii="宋体" w:hAnsi="宋体" w:cs="宋体"/>
          <w:kern w:val="0"/>
          <w:szCs w:val="21"/>
        </w:rPr>
        <w:t>GB/T19022-2003</w:t>
      </w:r>
      <w:r>
        <w:rPr>
          <w:rFonts w:hint="eastAsia" w:ascii="宋体" w:hAnsi="宋体" w:cs="宋体"/>
          <w:kern w:val="0"/>
          <w:szCs w:val="21"/>
        </w:rPr>
        <w:t>中6.2.4条款“ ……应有设备计量确认状态的标识。……”</w:t>
      </w:r>
      <w:r>
        <w:rPr>
          <w:rFonts w:hint="eastAsia" w:ascii="宋体" w:hAnsi="宋体"/>
          <w:bCs/>
        </w:rPr>
        <w:t>。</w:t>
      </w:r>
      <w:r>
        <w:rPr>
          <w:rFonts w:hint="eastAsia"/>
          <w:szCs w:val="21"/>
        </w:rPr>
        <w:t>的规定要求。</w:t>
      </w:r>
    </w:p>
    <w:p>
      <w:pPr>
        <w:spacing w:line="360" w:lineRule="auto"/>
        <w:rPr>
          <w:rFonts w:hint="eastAsia" w:ascii="宋体" w:hAnsi="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属于次要不符合项。</w:t>
      </w:r>
    </w:p>
    <w:p>
      <w:pPr>
        <w:spacing w:line="360" w:lineRule="auto"/>
        <w:ind w:firstLine="480"/>
        <w:rPr>
          <w:rFonts w:hint="eastAsia" w:ascii="宋体" w:hAnsi="宋体" w:cs="宋体"/>
          <w:kern w:val="0"/>
          <w:sz w:val="21"/>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天津金顺科技发展股份有限公司</w:t>
      </w:r>
      <w:r>
        <w:rPr>
          <w:rFonts w:ascii="Times New Roman" w:hAnsi="Times New Roman" w:cs="Times New Roman"/>
          <w:bCs/>
          <w:kern w:val="0"/>
          <w:szCs w:val="21"/>
          <w:highlight w:val="none"/>
        </w:rPr>
        <w:t>，</w:t>
      </w:r>
      <w:r>
        <w:rPr>
          <w:rFonts w:hint="eastAsia" w:ascii="宋体" w:hAnsi="宋体"/>
          <w:color w:val="000000"/>
          <w:szCs w:val="21"/>
        </w:rPr>
        <w:t>主要耗能为电；查企业20</w:t>
      </w:r>
      <w:r>
        <w:rPr>
          <w:rFonts w:hint="eastAsia" w:ascii="宋体" w:hAnsi="宋体"/>
          <w:color w:val="000000"/>
          <w:szCs w:val="21"/>
          <w:lang w:val="en-US" w:eastAsia="zh-CN"/>
        </w:rPr>
        <w:t>20</w:t>
      </w:r>
      <w:r>
        <w:rPr>
          <w:rFonts w:hint="eastAsia" w:ascii="宋体" w:hAnsi="宋体"/>
          <w:color w:val="000000"/>
          <w:szCs w:val="21"/>
        </w:rPr>
        <w:t>年</w:t>
      </w:r>
      <w:r>
        <w:rPr>
          <w:rFonts w:hint="eastAsia" w:ascii="宋体" w:hAnsi="宋体"/>
          <w:color w:val="000000"/>
          <w:szCs w:val="21"/>
          <w:lang w:val="en-US" w:eastAsia="zh-CN"/>
        </w:rPr>
        <w:t>1-11月</w:t>
      </w:r>
      <w:r>
        <w:rPr>
          <w:rFonts w:hint="eastAsia" w:ascii="宋体" w:hAnsi="宋体"/>
          <w:color w:val="000000"/>
          <w:szCs w:val="21"/>
        </w:rPr>
        <w:t>，能耗总量</w:t>
      </w:r>
      <w:r>
        <w:rPr>
          <w:rFonts w:hint="eastAsia" w:ascii="宋体" w:hAnsi="宋体"/>
          <w:color w:val="000000"/>
          <w:szCs w:val="21"/>
          <w:highlight w:val="none"/>
          <w:lang w:val="en-US" w:eastAsia="zh-CN"/>
        </w:rPr>
        <w:t>43.09</w:t>
      </w:r>
      <w:r>
        <w:rPr>
          <w:rFonts w:hint="eastAsia" w:ascii="宋体" w:hAnsi="宋体"/>
          <w:color w:val="000000"/>
          <w:szCs w:val="21"/>
        </w:rPr>
        <w:t>吨标煤。不是重点用能单位。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通过2020年</w:t>
      </w:r>
      <w:r>
        <w:rPr>
          <w:rFonts w:hint="eastAsia" w:ascii="Times New Roman" w:hAnsi="Times New Roman" w:cs="Times New Roman"/>
          <w:bCs/>
          <w:kern w:val="0"/>
          <w:szCs w:val="21"/>
          <w:lang w:val="en-US" w:eastAsia="zh-CN"/>
        </w:rPr>
        <w:t>12</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19</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天津金顺科技发展股份有限公司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天津金顺科技发展股份有限公司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hint="default" w:ascii="Times New Roman" w:hAnsi="Times New Roman" w:eastAsia="宋体" w:cs="Times New Roman"/>
          <w:kern w:val="0"/>
          <w:szCs w:val="28"/>
          <w:lang w:val="en-US" w:eastAsia="zh-CN"/>
        </w:rPr>
      </w:pPr>
      <w:r>
        <w:rPr>
          <w:rFonts w:hint="eastAsia"/>
          <w:sz w:val="24"/>
          <w:szCs w:val="24"/>
        </w:rPr>
        <w:drawing>
          <wp:anchor distT="0" distB="0" distL="114300" distR="114300" simplePos="0" relativeHeight="251660288" behindDoc="1" locked="0" layoutInCell="1" allowOverlap="1">
            <wp:simplePos x="0" y="0"/>
            <wp:positionH relativeFrom="column">
              <wp:posOffset>2270125</wp:posOffset>
            </wp:positionH>
            <wp:positionV relativeFrom="paragraph">
              <wp:posOffset>25400</wp:posOffset>
            </wp:positionV>
            <wp:extent cx="533400" cy="429895"/>
            <wp:effectExtent l="0" t="0" r="0" b="6985"/>
            <wp:wrapNone/>
            <wp:docPr id="3" name="图片 2" descr="4ed2faaa7d2424e4b2f2be5d56a53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4ed2faaa7d2424e4b2f2be5d56a531d.jpg"/>
                    <pic:cNvPicPr>
                      <a:picLocks noChangeAspect="1"/>
                    </pic:cNvPicPr>
                  </pic:nvPicPr>
                  <pic:blipFill>
                    <a:blip r:embed="rId6">
                      <a:clrChange>
                        <a:clrFrom>
                          <a:srgbClr val="ADADA3"/>
                        </a:clrFrom>
                        <a:clrTo>
                          <a:srgbClr val="ADADA3">
                            <a:alpha val="0"/>
                          </a:srgbClr>
                        </a:clrTo>
                      </a:clrChange>
                    </a:blip>
                    <a:stretch>
                      <a:fillRect/>
                    </a:stretch>
                  </pic:blipFill>
                  <pic:spPr>
                    <a:xfrm>
                      <a:off x="0" y="0"/>
                      <a:ext cx="533400" cy="429895"/>
                    </a:xfrm>
                    <a:prstGeom prst="rect">
                      <a:avLst/>
                    </a:prstGeom>
                    <a:noFill/>
                    <a:ln>
                      <a:noFill/>
                    </a:ln>
                  </pic:spPr>
                </pic:pic>
              </a:graphicData>
            </a:graphic>
          </wp:anchor>
        </w:drawing>
      </w: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Times New Roman" w:hAnsi="Times New Roman" w:eastAsia="宋体" w:cs="Times New Roman"/>
          <w:sz w:val="21"/>
          <w:szCs w:val="21"/>
          <w:lang w:eastAsia="zh-CN"/>
        </w:rPr>
        <w:drawing>
          <wp:inline distT="0" distB="0" distL="114300" distR="114300">
            <wp:extent cx="781685" cy="469900"/>
            <wp:effectExtent l="0" t="0" r="18415" b="6350"/>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7"/>
                    <a:srcRect l="12695" t="5128"/>
                    <a:stretch>
                      <a:fillRect/>
                    </a:stretch>
                  </pic:blipFill>
                  <pic:spPr>
                    <a:xfrm>
                      <a:off x="0" y="0"/>
                      <a:ext cx="781685" cy="469900"/>
                    </a:xfrm>
                    <a:prstGeom prst="rect">
                      <a:avLst/>
                    </a:prstGeom>
                    <a:noFill/>
                    <a:ln>
                      <a:noFill/>
                    </a:ln>
                  </pic:spPr>
                </pic:pic>
              </a:graphicData>
            </a:graphic>
          </wp:inline>
        </w:drawing>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2020.12.19</w:t>
      </w:r>
    </w:p>
    <w:p>
      <w:pPr>
        <w:widowControl/>
        <w:spacing w:line="276" w:lineRule="auto"/>
        <w:ind w:right="945"/>
        <w:jc w:val="left"/>
        <w:rPr>
          <w:rFonts w:hint="default" w:ascii="Times New Roman" w:hAnsi="Times New Roman" w:eastAsia="宋体" w:cs="Times New Roman"/>
          <w:b/>
          <w:kern w:val="0"/>
          <w:sz w:val="20"/>
          <w:szCs w:val="24"/>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70526FD"/>
    <w:rsid w:val="07CB0C61"/>
    <w:rsid w:val="0AAC43F2"/>
    <w:rsid w:val="0B6A287A"/>
    <w:rsid w:val="0C4A062D"/>
    <w:rsid w:val="0CF4221B"/>
    <w:rsid w:val="0DFC7968"/>
    <w:rsid w:val="0E553E18"/>
    <w:rsid w:val="0E8A307E"/>
    <w:rsid w:val="10514274"/>
    <w:rsid w:val="106725C6"/>
    <w:rsid w:val="10CC502F"/>
    <w:rsid w:val="10F52E13"/>
    <w:rsid w:val="110C45FB"/>
    <w:rsid w:val="11550A66"/>
    <w:rsid w:val="1193589A"/>
    <w:rsid w:val="12114279"/>
    <w:rsid w:val="13B07256"/>
    <w:rsid w:val="147A5742"/>
    <w:rsid w:val="14AF6172"/>
    <w:rsid w:val="15217ADC"/>
    <w:rsid w:val="15501560"/>
    <w:rsid w:val="158D185E"/>
    <w:rsid w:val="17E86A55"/>
    <w:rsid w:val="188842BC"/>
    <w:rsid w:val="191875B9"/>
    <w:rsid w:val="1A9066D8"/>
    <w:rsid w:val="1ACB2E07"/>
    <w:rsid w:val="1B6E0BCC"/>
    <w:rsid w:val="1DB528F4"/>
    <w:rsid w:val="1F96490F"/>
    <w:rsid w:val="1FD87C5A"/>
    <w:rsid w:val="205A621D"/>
    <w:rsid w:val="221F4A52"/>
    <w:rsid w:val="22D6310F"/>
    <w:rsid w:val="236837F1"/>
    <w:rsid w:val="26D61E0E"/>
    <w:rsid w:val="290D70F9"/>
    <w:rsid w:val="294A7B5F"/>
    <w:rsid w:val="29EC5CDB"/>
    <w:rsid w:val="2CAB432C"/>
    <w:rsid w:val="2DD74E91"/>
    <w:rsid w:val="2E000AD3"/>
    <w:rsid w:val="2E92798F"/>
    <w:rsid w:val="2EE23BD1"/>
    <w:rsid w:val="30DE05E1"/>
    <w:rsid w:val="33947CD2"/>
    <w:rsid w:val="34D4260D"/>
    <w:rsid w:val="352D77B4"/>
    <w:rsid w:val="36823C9C"/>
    <w:rsid w:val="37596989"/>
    <w:rsid w:val="37C53059"/>
    <w:rsid w:val="38505CE2"/>
    <w:rsid w:val="38E460E2"/>
    <w:rsid w:val="39364992"/>
    <w:rsid w:val="3A8F40F6"/>
    <w:rsid w:val="3B671689"/>
    <w:rsid w:val="3FD079A4"/>
    <w:rsid w:val="410611B0"/>
    <w:rsid w:val="4119198D"/>
    <w:rsid w:val="415E78AA"/>
    <w:rsid w:val="42C727C5"/>
    <w:rsid w:val="42E02AF7"/>
    <w:rsid w:val="43EF4DE3"/>
    <w:rsid w:val="46425F4D"/>
    <w:rsid w:val="46FF1A20"/>
    <w:rsid w:val="478068A7"/>
    <w:rsid w:val="4B646F95"/>
    <w:rsid w:val="4D3B07E4"/>
    <w:rsid w:val="4DEA7C06"/>
    <w:rsid w:val="4DF83EDC"/>
    <w:rsid w:val="4E2C127C"/>
    <w:rsid w:val="4F966158"/>
    <w:rsid w:val="50AB3606"/>
    <w:rsid w:val="52CF4CBD"/>
    <w:rsid w:val="55C948E7"/>
    <w:rsid w:val="560936BF"/>
    <w:rsid w:val="562F6FE8"/>
    <w:rsid w:val="56BD4064"/>
    <w:rsid w:val="57B34F29"/>
    <w:rsid w:val="584066CD"/>
    <w:rsid w:val="58F22A70"/>
    <w:rsid w:val="59EE788F"/>
    <w:rsid w:val="5A335F8D"/>
    <w:rsid w:val="5AEA42C2"/>
    <w:rsid w:val="5BA81CB8"/>
    <w:rsid w:val="5C132391"/>
    <w:rsid w:val="5DA46180"/>
    <w:rsid w:val="60C64E46"/>
    <w:rsid w:val="62BA3AD0"/>
    <w:rsid w:val="63C16F8E"/>
    <w:rsid w:val="63FC6CAF"/>
    <w:rsid w:val="654B5DFD"/>
    <w:rsid w:val="65C01B44"/>
    <w:rsid w:val="6B9A7111"/>
    <w:rsid w:val="6CC32C31"/>
    <w:rsid w:val="6F264392"/>
    <w:rsid w:val="6FCF21C7"/>
    <w:rsid w:val="70BF6DFC"/>
    <w:rsid w:val="73877C76"/>
    <w:rsid w:val="738E408B"/>
    <w:rsid w:val="7405196C"/>
    <w:rsid w:val="74062830"/>
    <w:rsid w:val="74243E8A"/>
    <w:rsid w:val="7567525C"/>
    <w:rsid w:val="75E04B0D"/>
    <w:rsid w:val="77555FF3"/>
    <w:rsid w:val="784E5A3C"/>
    <w:rsid w:val="788E567B"/>
    <w:rsid w:val="7AE25BD9"/>
    <w:rsid w:val="7CB55D5F"/>
    <w:rsid w:val="7CDC30C1"/>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3</TotalTime>
  <ScaleCrop>false</ScaleCrop>
  <LinksUpToDate>false</LinksUpToDate>
  <CharactersWithSpaces>3072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2020-12-19T08:08:27Z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