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1"/>
        <w:gridCol w:w="243"/>
        <w:gridCol w:w="893"/>
        <w:gridCol w:w="669"/>
        <w:gridCol w:w="41"/>
        <w:gridCol w:w="952"/>
        <w:gridCol w:w="143"/>
        <w:gridCol w:w="1555"/>
        <w:gridCol w:w="6"/>
        <w:gridCol w:w="568"/>
        <w:gridCol w:w="1244"/>
        <w:gridCol w:w="76"/>
        <w:gridCol w:w="100"/>
        <w:gridCol w:w="590"/>
        <w:gridCol w:w="262"/>
        <w:gridCol w:w="503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新疆浩之帆石油机械有限公司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新疆克拉玛依市东岭路12号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孙彪</w:t>
            </w:r>
            <w:bookmarkEnd w:id="2"/>
          </w:p>
        </w:tc>
        <w:tc>
          <w:tcPr>
            <w:tcW w:w="16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18130878787</w:t>
            </w:r>
            <w:bookmarkEnd w:id="3"/>
          </w:p>
        </w:tc>
        <w:tc>
          <w:tcPr>
            <w:tcW w:w="7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834009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87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5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rPr>
                <w:sz w:val="21"/>
                <w:szCs w:val="21"/>
              </w:rPr>
              <w:t>范鸿驿</w:t>
            </w:r>
            <w:bookmarkEnd w:id="6"/>
          </w:p>
        </w:tc>
        <w:tc>
          <w:tcPr>
            <w:tcW w:w="16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8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0260-2020-Q</w:t>
            </w:r>
            <w:bookmarkEnd w:id="9"/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3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3" w:name="审核类型ZB"/>
            <w:bookmarkEnd w:id="13"/>
            <w:r>
              <w:rPr>
                <w:rFonts w:hint="eastAsia"/>
                <w:b/>
                <w:sz w:val="20"/>
                <w:lang w:val="en-US" w:eastAsia="zh-CN"/>
              </w:rPr>
              <w:t>补充审核</w:t>
            </w:r>
            <w:r>
              <w:rPr>
                <w:rFonts w:hint="eastAsia"/>
                <w:b/>
                <w:sz w:val="20"/>
              </w:rPr>
              <w:t>2020年06月1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0-11日现场预留1人日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52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47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石油专用设备（泥浆净化系统、加工罐?）?、?沙漠野营房的生产，钻机维修及技术服务</w:t>
            </w:r>
            <w:bookmarkEnd w:id="14"/>
          </w:p>
        </w:tc>
        <w:tc>
          <w:tcPr>
            <w:tcW w:w="95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18.05.02;18.08.00;34.06.00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2020年12月19日 上午至2020年12月19日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5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39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9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18.05.02,18.08.00,34.06.00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4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2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9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0339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9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05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0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2020.12.16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05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8"/>
        <w:gridCol w:w="1375"/>
        <w:gridCol w:w="847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184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47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19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4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补充审核描述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4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46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8.2产品和服务的要求；9.1.2顾客满意；8.4外部提供过程、产品和服务的控制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46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8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default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DC592F"/>
    <w:rsid w:val="16262AFD"/>
    <w:rsid w:val="16447097"/>
    <w:rsid w:val="1AF11DCF"/>
    <w:rsid w:val="301668BD"/>
    <w:rsid w:val="444628E4"/>
    <w:rsid w:val="7041456B"/>
    <w:rsid w:val="798B3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2020-12-22T03:12:59Z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