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宝鸡市东兴锻造有限公司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0217-2019-2020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0217-2019-2020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00"/>
        <w:gridCol w:w="19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0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宝鸡市东兴锻造有限公司</w:t>
            </w:r>
            <w:bookmarkEnd w:id="4"/>
          </w:p>
        </w:tc>
        <w:tc>
          <w:tcPr>
            <w:tcW w:w="194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2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赵晓伟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0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ISC-2019-0611</w:t>
            </w:r>
            <w:bookmarkEnd w:id="6"/>
          </w:p>
        </w:tc>
        <w:tc>
          <w:tcPr>
            <w:tcW w:w="194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2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2024-12-25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00"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94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22"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2020年12月12日 下午</w:t>
            </w:r>
            <w:bookmarkEnd w:id="9"/>
            <w:r>
              <w:rPr>
                <w:rFonts w:hint="eastAsia" w:cs="宋体" w:asciiTheme="minorEastAsia" w:hAnsiTheme="minorEastAsia"/>
                <w:kern w:val="0"/>
                <w:szCs w:val="21"/>
                <w:lang w:val="en-US" w:eastAsia="zh-CN"/>
              </w:rPr>
              <w:t>-13日上午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0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olor w:val="000000"/>
                <w:szCs w:val="21"/>
                <w:lang w:val="en-US" w:eastAsia="zh-CN"/>
              </w:rPr>
              <w:t xml:space="preserve">李学弘  </w:t>
            </w:r>
            <w:r>
              <w:rPr>
                <w:rFonts w:ascii="宋体" w:hAnsi="宋体"/>
                <w:color w:val="000000"/>
                <w:szCs w:val="21"/>
              </w:rPr>
              <w:t>中认协评[2019]106号 ISC[S]0117</w:t>
            </w:r>
          </w:p>
        </w:tc>
        <w:tc>
          <w:tcPr>
            <w:tcW w:w="194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2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olor w:val="000000"/>
                <w:szCs w:val="21"/>
                <w:lang w:val="en-US" w:eastAsia="zh-CN"/>
              </w:rPr>
              <w:t>综合管理部、技术质量部、供销部、生产部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default" w:cs="宋体" w:asciiTheme="minorEastAsia" w:hAnsiTheme="minorEastAsia" w:eastAsiaTheme="minorEastAsia"/>
          <w:bCs/>
          <w:kern w:val="0"/>
          <w:szCs w:val="21"/>
          <w:lang w:val="en-US" w:eastAsia="zh-CN"/>
        </w:rPr>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r>
        <w:rPr>
          <w:rFonts w:hint="eastAsia" w:cs="宋体" w:asciiTheme="minorEastAsia" w:hAnsiTheme="minorEastAsia"/>
          <w:bCs/>
          <w:kern w:val="0"/>
          <w:szCs w:val="21"/>
          <w:lang w:val="en-US" w:eastAsia="zh-CN"/>
        </w:rPr>
        <w:t xml:space="preserve">    </w:t>
      </w:r>
    </w:p>
    <w:p>
      <w:pPr>
        <w:widowControl/>
        <w:spacing w:line="360" w:lineRule="auto"/>
        <w:ind w:firstLine="420" w:firstLineChars="200"/>
        <w:rPr>
          <w:rFonts w:hint="eastAsia" w:ascii="宋体" w:hAnsi="宋体"/>
          <w:szCs w:val="21"/>
          <w:lang w:eastAsia="zh-CN"/>
        </w:rPr>
      </w:pPr>
      <w:r>
        <w:rPr>
          <w:rFonts w:hint="eastAsia" w:cs="宋体" w:asciiTheme="minorEastAsia" w:hAnsiTheme="minorEastAsia"/>
          <w:bCs/>
          <w:kern w:val="0"/>
          <w:szCs w:val="21"/>
          <w:lang w:val="en-US" w:eastAsia="zh-CN"/>
        </w:rPr>
        <w:t xml:space="preserve"> </w:t>
      </w: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12日-13</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w:t>
      </w:r>
      <w:r>
        <w:rPr>
          <w:rFonts w:hint="eastAsia" w:ascii="宋体" w:hAnsi="宋体"/>
          <w:szCs w:val="21"/>
          <w:lang w:val="en-US" w:eastAsia="zh-CN"/>
        </w:rPr>
        <w:t>1</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w:t>
      </w:r>
      <w:r>
        <w:rPr>
          <w:rFonts w:hint="eastAsia" w:ascii="宋体" w:hAnsi="宋体" w:cs="宋体"/>
          <w:bCs/>
          <w:kern w:val="0"/>
          <w:szCs w:val="21"/>
          <w:lang w:val="en-US" w:eastAsia="zh-CN"/>
        </w:rPr>
        <w:t>企业</w:t>
      </w:r>
      <w:r>
        <w:rPr>
          <w:rFonts w:hint="eastAsia" w:ascii="宋体" w:hAnsi="宋体" w:cs="宋体"/>
          <w:bCs/>
          <w:kern w:val="0"/>
          <w:szCs w:val="21"/>
        </w:rPr>
        <w:t>测量体系内的</w:t>
      </w:r>
      <w:r>
        <w:rPr>
          <w:rFonts w:hint="eastAsia" w:ascii="宋体" w:hAnsi="宋体"/>
          <w:color w:val="000000"/>
          <w:szCs w:val="21"/>
          <w:lang w:val="en-US" w:eastAsia="zh-CN"/>
        </w:rPr>
        <w:t>综合管理部、技术质量部、供销部、生产部</w:t>
      </w:r>
      <w:r>
        <w:rPr>
          <w:rFonts w:hint="eastAsia" w:ascii="宋体" w:hAnsi="宋体" w:cs="宋体"/>
          <w:bCs/>
          <w:kern w:val="0"/>
          <w:szCs w:val="21"/>
        </w:rPr>
        <w:t>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w:t>
      </w:r>
      <w:r>
        <w:rPr>
          <w:rFonts w:hint="eastAsia" w:ascii="宋体" w:hAnsi="宋体" w:cs="宋体"/>
          <w:bCs/>
          <w:kern w:val="0"/>
          <w:szCs w:val="21"/>
          <w:lang w:eastAsia="zh-CN"/>
        </w:rPr>
        <w:t>，</w:t>
      </w:r>
      <w:r>
        <w:rPr>
          <w:rFonts w:hint="eastAsia" w:ascii="宋体" w:hAnsi="宋体" w:cs="宋体"/>
          <w:bCs/>
          <w:kern w:val="0"/>
          <w:szCs w:val="21"/>
          <w:lang w:val="en-US" w:eastAsia="zh-CN"/>
        </w:rPr>
        <w:t>2019年实际耗电能282吨标准煤，能源计量器具管理符合规定要求</w:t>
      </w:r>
      <w:r>
        <w:rPr>
          <w:rFonts w:hint="eastAsia" w:ascii="宋体" w:hAnsi="宋体" w:cs="宋体"/>
          <w:bCs/>
          <w:kern w:val="0"/>
          <w:szCs w:val="21"/>
          <w:lang w:eastAsia="zh-CN"/>
        </w:rPr>
        <w:t>。</w:t>
      </w:r>
      <w:r>
        <w:rPr>
          <w:rFonts w:hint="eastAsia" w:ascii="宋体" w:hAnsi="宋体"/>
          <w:szCs w:val="21"/>
          <w:lang w:eastAsia="zh-CN"/>
        </w:rPr>
        <w:t>为有效评价公司体系运行的质量，审核组重点检查了公司计量特征突出的</w:t>
      </w:r>
      <w:r>
        <w:rPr>
          <w:rFonts w:hint="eastAsia" w:ascii="宋体" w:hAnsi="宋体"/>
          <w:szCs w:val="21"/>
          <w:lang w:val="en-US" w:eastAsia="zh-CN"/>
        </w:rPr>
        <w:t>关键锻件尺寸检验、理化分析、测温参数控制</w:t>
      </w:r>
      <w:r>
        <w:rPr>
          <w:rFonts w:hint="eastAsia" w:ascii="宋体" w:hAnsi="宋体"/>
          <w:szCs w:val="21"/>
          <w:lang w:eastAsia="zh-CN"/>
        </w:rPr>
        <w:t>等测量过程，掌握了企业测量管理体系的运行状况。</w:t>
      </w:r>
    </w:p>
    <w:p>
      <w:pPr>
        <w:widowControl/>
        <w:numPr>
          <w:ilvl w:val="0"/>
          <w:numId w:val="0"/>
        </w:numPr>
        <w:spacing w:line="360" w:lineRule="auto"/>
        <w:rPr>
          <w:rFonts w:hint="default" w:cs="宋体" w:asciiTheme="minorEastAsia" w:hAnsiTheme="minorEastAsia" w:eastAsiaTheme="minorEastAsia"/>
          <w:bCs/>
          <w:kern w:val="0"/>
          <w:szCs w:val="21"/>
          <w:lang w:val="en-US" w:eastAsia="zh-CN"/>
        </w:rPr>
      </w:pPr>
      <w:r>
        <w:rPr>
          <w:rFonts w:hint="eastAsia" w:ascii="宋体" w:hAnsi="宋体"/>
          <w:szCs w:val="21"/>
          <w:lang w:val="en-US" w:eastAsia="zh-CN"/>
        </w:rPr>
        <w:t>该公司</w:t>
      </w:r>
      <w:r>
        <w:rPr>
          <w:rFonts w:hint="eastAsia" w:ascii="宋体" w:hAnsi="宋体"/>
          <w:szCs w:val="21"/>
        </w:rPr>
        <w:t>测量管理体系的符合性、有效性及持续改进，符合GB/T 19022-2003标准要求，测量管理体系正常有序运行，</w:t>
      </w:r>
      <w:r>
        <w:rPr>
          <w:rFonts w:hint="eastAsia" w:ascii="宋体" w:hAnsi="宋体"/>
          <w:szCs w:val="21"/>
          <w:lang w:val="en-US" w:eastAsia="zh-CN"/>
        </w:rPr>
        <w:t>能够</w:t>
      </w:r>
      <w:r>
        <w:rPr>
          <w:rFonts w:hint="eastAsia" w:ascii="宋体" w:hAnsi="宋体"/>
          <w:szCs w:val="21"/>
        </w:rPr>
        <w:t>满足了</w:t>
      </w:r>
      <w:r>
        <w:rPr>
          <w:rFonts w:hint="eastAsia" w:ascii="宋体" w:hAnsi="宋体"/>
          <w:szCs w:val="21"/>
          <w:lang w:val="en-US" w:eastAsia="zh-CN"/>
        </w:rPr>
        <w:t>企业生产运行和</w:t>
      </w:r>
      <w:r>
        <w:rPr>
          <w:rFonts w:hint="eastAsia" w:ascii="宋体" w:hAnsi="宋体"/>
          <w:szCs w:val="21"/>
        </w:rPr>
        <w:t xml:space="preserve">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pacing w:line="360" w:lineRule="auto"/>
        <w:ind w:firstLine="210" w:firstLineChars="100"/>
        <w:rPr>
          <w:rFonts w:hint="eastAsia" w:ascii="宋体" w:hAnsi="宋体"/>
          <w:color w:val="000000"/>
          <w:szCs w:val="21"/>
          <w:lang w:val="en-US" w:eastAsia="zh-CN"/>
        </w:rPr>
      </w:pPr>
      <w:r>
        <w:rPr>
          <w:rFonts w:hint="eastAsia" w:cs="宋体" w:asciiTheme="minorEastAsia" w:hAnsiTheme="minorEastAsia"/>
          <w:bCs/>
          <w:kern w:val="0"/>
          <w:szCs w:val="21"/>
          <w:lang w:val="en-US" w:eastAsia="zh-CN"/>
        </w:rPr>
        <w:t xml:space="preserve">  </w:t>
      </w:r>
      <w:r>
        <w:rPr>
          <w:rFonts w:hint="eastAsia" w:ascii="宋体" w:hAnsi="宋体"/>
          <w:color w:val="000000"/>
          <w:szCs w:val="21"/>
          <w:lang w:val="en-US" w:eastAsia="zh-CN"/>
        </w:rPr>
        <w:t>该公司于2020年10月21日由闫高强、曹勇杰两名内审员实施了测量管理体系内部审核，开具了一个次要不符合项，于2020年10月23日完成了整改；</w:t>
      </w:r>
    </w:p>
    <w:p>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该公司于2020年10月28日由赵晓伟总经理主持了测量管理体系管理评审会议，对公司测量管理体系运行的适宜性、充分性、有效性实施了验证，提出了两项改进措施，体系运行质量良好。</w:t>
      </w:r>
    </w:p>
    <w:p>
      <w:pPr>
        <w:widowControl/>
        <w:numPr>
          <w:ilvl w:val="0"/>
          <w:numId w:val="0"/>
        </w:numPr>
        <w:spacing w:line="276" w:lineRule="auto"/>
        <w:ind w:leftChars="0"/>
        <w:rPr>
          <w:rFonts w:hint="default" w:cs="宋体" w:asciiTheme="minorEastAsia" w:hAnsiTheme="minorEastAsia" w:eastAsiaTheme="minorEastAsia"/>
          <w:bCs/>
          <w:kern w:val="0"/>
          <w:szCs w:val="21"/>
          <w:lang w:val="en-US" w:eastAsia="zh-CN"/>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1</w:t>
      </w:r>
      <w:r>
        <w:rPr>
          <w:rFonts w:ascii="宋体" w:hAnsi="宋体" w:cs="宋体"/>
          <w:kern w:val="0"/>
          <w:szCs w:val="21"/>
        </w:rPr>
        <w:t xml:space="preserve"> </w:t>
      </w:r>
      <w:r>
        <w:rPr>
          <w:rFonts w:cs="宋体" w:asciiTheme="minorEastAsia" w:hAnsiTheme="minorEastAsia"/>
          <w:kern w:val="0"/>
          <w:szCs w:val="21"/>
        </w:rPr>
        <w:t>宝鸡市东兴锻造有限公司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年质量目标考核细则已确认，并按规定的内容和时间进行考核，质量目标完成情况较好；</w:t>
      </w:r>
    </w:p>
    <w:p>
      <w:pPr>
        <w:widowControl/>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lang w:val="en-US" w:eastAsia="zh-CN"/>
        </w:rPr>
        <w:t xml:space="preserve"> 企业未建立最高计量标准，测量设备由</w:t>
      </w:r>
      <w:r>
        <w:rPr>
          <w:rFonts w:hint="eastAsia"/>
          <w:szCs w:val="21"/>
          <w:lang w:val="en-US" w:eastAsia="zh-CN"/>
        </w:rPr>
        <w:t>岐山县质量技术监督检测检验所、宝鸡市质量技术检验检测中心、深圳新广行检测技术有限公司检定或校准</w:t>
      </w:r>
      <w:r>
        <w:rPr>
          <w:rFonts w:hint="eastAsia" w:ascii="宋体" w:hAnsi="宋体" w:cs="宋体"/>
          <w:kern w:val="0"/>
          <w:szCs w:val="21"/>
          <w:lang w:val="en-US" w:eastAsia="zh-CN"/>
        </w:rPr>
        <w:t>，详见见附件《测量设备溯源抽查表》；</w:t>
      </w:r>
    </w:p>
    <w:p>
      <w:pPr>
        <w:widowControl/>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现场重点抽查了</w:t>
      </w:r>
      <w:r>
        <w:rPr>
          <w:rFonts w:hint="eastAsia" w:ascii="宋体" w:hAnsi="宋体"/>
          <w:color w:val="000000"/>
          <w:szCs w:val="21"/>
          <w:lang w:val="en-US" w:eastAsia="zh-CN"/>
        </w:rPr>
        <w:t>技术质量部</w:t>
      </w:r>
      <w:r>
        <w:rPr>
          <w:rFonts w:hint="eastAsia" w:ascii="宋体" w:hAnsi="宋体" w:cs="宋体"/>
          <w:kern w:val="0"/>
          <w:szCs w:val="21"/>
          <w:lang w:val="en-US" w:eastAsia="zh-CN"/>
        </w:rPr>
        <w:t>测量过程测量要求识别、计量要求导出和计量验证记录满足顾客要求，详见附件《计量要求导出和计量验证记录表》。</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szCs w:val="21"/>
          <w:lang w:val="en-US" w:eastAsia="zh-CN"/>
        </w:rPr>
        <w:t>2020年对识别的高控测量过程“</w:t>
      </w:r>
      <w:r>
        <w:rPr>
          <w:rFonts w:hint="default" w:eastAsia="宋体"/>
          <w:lang w:val="en-US" w:eastAsia="zh-CN"/>
        </w:rPr>
        <w:t>中间轴超速档齿轮内孔检测</w:t>
      </w:r>
      <w:r>
        <w:rPr>
          <w:rFonts w:hint="eastAsia" w:ascii="宋体" w:hAnsi="宋体"/>
          <w:szCs w:val="21"/>
          <w:lang w:val="en-US" w:eastAsia="zh-CN"/>
        </w:rPr>
        <w:t>”</w:t>
      </w:r>
      <w:r>
        <w:rPr>
          <w:rFonts w:hint="eastAsia" w:ascii="Times New Roman" w:hAnsi="Times New Roman" w:cs="Times New Roman"/>
          <w:lang w:val="en-US" w:eastAsia="zh-CN"/>
        </w:rPr>
        <w:t>进行了有效性确认。</w:t>
      </w:r>
      <w:r>
        <w:rPr>
          <w:rFonts w:hint="eastAsia" w:cs="宋体" w:asciiTheme="minorEastAsia" w:hAnsiTheme="minorEastAsia"/>
          <w:kern w:val="0"/>
          <w:szCs w:val="21"/>
        </w:rPr>
        <w:t>抽查了关键测量过程：</w:t>
      </w:r>
      <w:r>
        <w:rPr>
          <w:rFonts w:hint="eastAsia" w:ascii="宋体" w:hAnsi="宋体"/>
          <w:szCs w:val="21"/>
          <w:lang w:val="en-US" w:eastAsia="zh-CN"/>
        </w:rPr>
        <w:t>“</w:t>
      </w:r>
      <w:r>
        <w:rPr>
          <w:rFonts w:hint="default" w:eastAsia="宋体"/>
          <w:lang w:val="en-US" w:eastAsia="zh-CN"/>
        </w:rPr>
        <w:t>中间轴超速档齿轮内孔检测</w:t>
      </w:r>
      <w:r>
        <w:rPr>
          <w:rFonts w:hint="eastAsia" w:ascii="宋体" w:hAnsi="宋体"/>
          <w:szCs w:val="21"/>
          <w:lang w:val="en-US" w:eastAsia="zh-CN"/>
        </w:rPr>
        <w:t>”</w:t>
      </w:r>
      <w:r>
        <w:rPr>
          <w:rFonts w:hint="eastAsia" w:cs="宋体" w:asciiTheme="minorEastAsia" w:hAnsiTheme="minorEastAsia"/>
          <w:kern w:val="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ascii="宋体" w:hAnsi="宋体"/>
          <w:szCs w:val="21"/>
          <w:lang w:val="en-US" w:eastAsia="zh-CN"/>
        </w:rPr>
        <w:t>“</w:t>
      </w:r>
      <w:r>
        <w:rPr>
          <w:rFonts w:hint="default" w:eastAsia="宋体"/>
          <w:lang w:val="en-US" w:eastAsia="zh-CN"/>
        </w:rPr>
        <w:t>中间轴超速档齿轮内孔检测</w:t>
      </w:r>
      <w:r>
        <w:rPr>
          <w:rFonts w:hint="eastAsia" w:ascii="宋体" w:hAnsi="宋体"/>
          <w:szCs w:val="21"/>
          <w:lang w:val="en-US" w:eastAsia="zh-CN"/>
        </w:rPr>
        <w:t>”测量</w:t>
      </w:r>
      <w:r>
        <w:rPr>
          <w:rFonts w:hint="eastAsia" w:ascii="Times New Roman" w:hAnsi="Times New Roman" w:cs="Times New Roman"/>
          <w:lang w:val="en-US" w:eastAsia="zh-CN"/>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2对</w:t>
      </w:r>
      <w:r>
        <w:rPr>
          <w:rFonts w:hint="eastAsia" w:ascii="宋体" w:hAnsi="宋体"/>
          <w:szCs w:val="21"/>
          <w:lang w:val="en-US" w:eastAsia="zh-CN"/>
        </w:rPr>
        <w:t>“</w:t>
      </w:r>
      <w:r>
        <w:rPr>
          <w:rFonts w:hint="default" w:eastAsia="宋体"/>
          <w:lang w:val="en-US" w:eastAsia="zh-CN"/>
        </w:rPr>
        <w:t>中间轴超速档齿轮内孔检测</w:t>
      </w:r>
      <w:r>
        <w:rPr>
          <w:rFonts w:hint="eastAsia" w:ascii="宋体" w:hAnsi="宋体"/>
          <w:szCs w:val="21"/>
          <w:lang w:val="en-US" w:eastAsia="zh-CN"/>
        </w:rPr>
        <w:t>”进行了</w:t>
      </w:r>
      <w:r>
        <w:rPr>
          <w:rFonts w:hint="eastAsia" w:hAnsi="宋体"/>
          <w:color w:val="000000"/>
          <w:kern w:val="2"/>
          <w:sz w:val="21"/>
          <w:szCs w:val="21"/>
          <w:lang w:val="en-US" w:eastAsia="zh-CN" w:bidi="ar-SA"/>
        </w:rPr>
        <w:t>测量结果</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ascii="宋体" w:hAnsi="宋体"/>
          <w:szCs w:val="21"/>
          <w:lang w:val="en-US" w:eastAsia="zh-CN"/>
        </w:rPr>
        <w:t>“</w:t>
      </w:r>
      <w:r>
        <w:rPr>
          <w:rFonts w:hint="default" w:eastAsia="宋体"/>
          <w:lang w:val="en-US" w:eastAsia="zh-CN"/>
        </w:rPr>
        <w:t>中间轴超速档齿轮内孔检测</w:t>
      </w:r>
      <w:r>
        <w:rPr>
          <w:rFonts w:hint="eastAsia" w:ascii="宋体" w:hAnsi="宋体"/>
          <w:szCs w:val="21"/>
          <w:lang w:val="en-US" w:eastAsia="zh-CN"/>
        </w:rPr>
        <w:t>”</w:t>
      </w:r>
      <w:r>
        <w:rPr>
          <w:rFonts w:hint="eastAsia" w:hAnsi="宋体"/>
          <w:color w:val="000000"/>
          <w:kern w:val="2"/>
          <w:sz w:val="21"/>
          <w:szCs w:val="21"/>
          <w:lang w:val="en-US" w:eastAsia="zh-CN" w:bidi="ar-SA"/>
        </w:rPr>
        <w:t>测量</w:t>
      </w:r>
      <w:r>
        <w:rPr>
          <w:rFonts w:hint="eastAsia" w:ascii="宋体" w:hAnsi="宋体" w:cs="宋体"/>
          <w:color w:val="000000"/>
          <w:kern w:val="0"/>
          <w:szCs w:val="21"/>
        </w:rPr>
        <w:t>过程</w:t>
      </w:r>
      <w:r>
        <w:rPr>
          <w:rFonts w:hint="eastAsia" w:ascii="宋体" w:hAnsi="宋体"/>
          <w:color w:val="000000"/>
          <w:szCs w:val="21"/>
        </w:rPr>
        <w:t>有效性确认，测量过程监视记</w:t>
      </w:r>
      <w:r>
        <w:rPr>
          <w:rFonts w:hint="eastAsia" w:ascii="宋体" w:hAnsi="宋体"/>
          <w:color w:val="000000"/>
          <w:szCs w:val="21"/>
          <w:lang w:val="en-US" w:eastAsia="zh-CN"/>
        </w:rPr>
        <w:t>录</w:t>
      </w:r>
      <w:r>
        <w:rPr>
          <w:rFonts w:hint="eastAsia" w:ascii="宋体" w:hAnsi="宋体"/>
          <w:color w:val="000000"/>
          <w:szCs w:val="21"/>
        </w:rPr>
        <w:t>和控制图绘制，满足标准要求，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numPr>
          <w:ilvl w:val="0"/>
          <w:numId w:val="0"/>
        </w:numPr>
        <w:spacing w:line="360" w:lineRule="auto"/>
        <w:ind w:leftChars="0" w:firstLine="420" w:firstLineChars="200"/>
        <w:rPr>
          <w:rFonts w:cs="宋体" w:asciiTheme="minorEastAsia" w:hAnsiTheme="minorEastAsia"/>
          <w:kern w:val="0"/>
          <w:szCs w:val="21"/>
        </w:rPr>
      </w:pPr>
      <w:r>
        <w:rPr>
          <w:rFonts w:hint="eastAsia" w:cs="宋体" w:asciiTheme="minorEastAsia" w:hAnsiTheme="minorEastAsia"/>
          <w:kern w:val="0"/>
          <w:szCs w:val="21"/>
          <w:lang w:val="en-US" w:eastAsia="zh-CN"/>
        </w:rPr>
        <w:t>该</w:t>
      </w:r>
      <w:r>
        <w:rPr>
          <w:rFonts w:hint="eastAsia" w:cs="宋体"/>
          <w:kern w:val="0"/>
        </w:rPr>
        <w:t>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r>
        <w:rPr>
          <w:rFonts w:cs="宋体" w:asciiTheme="minorEastAsia" w:hAnsiTheme="minorEastAsia"/>
          <w:kern w:val="0"/>
          <w:szCs w:val="21"/>
        </w:rPr>
        <w:t> </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rPr>
          <w:rFonts w:hint="default" w:cs="宋体" w:asciiTheme="minorEastAsia" w:hAnsiTheme="minorEastAsia" w:eastAsiaTheme="minorEastAsia"/>
          <w:bCs/>
          <w:kern w:val="0"/>
          <w:szCs w:val="21"/>
          <w:lang w:val="en-US" w:eastAsia="zh-CN"/>
        </w:rPr>
      </w:pPr>
      <w:r>
        <w:rPr>
          <w:rFonts w:hint="eastAsia" w:cs="宋体" w:asciiTheme="minorEastAsia" w:hAnsiTheme="minorEastAsia"/>
          <w:bCs/>
          <w:kern w:val="0"/>
          <w:szCs w:val="21"/>
          <w:lang w:val="en-US" w:eastAsia="zh-CN"/>
        </w:rPr>
        <w:t xml:space="preserve">  </w:t>
      </w:r>
      <w:r>
        <w:rPr>
          <w:rFonts w:hint="eastAsia" w:ascii="宋体" w:hAnsi="宋体"/>
          <w:bCs/>
          <w:szCs w:val="21"/>
        </w:rPr>
        <w:t>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leftChars="0" w:firstLine="420" w:firstLineChars="200"/>
        <w:rPr>
          <w:rFonts w:cs="宋体" w:asciiTheme="minorEastAsia" w:hAnsiTheme="minorEastAsia"/>
          <w:bCs/>
          <w:kern w:val="0"/>
          <w:szCs w:val="21"/>
        </w:rPr>
      </w:pP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w:t>
      </w:r>
      <w:r>
        <w:rPr>
          <w:rFonts w:hint="eastAsia" w:ascii="宋体" w:hAnsi="宋体"/>
          <w:bCs/>
          <w:szCs w:val="21"/>
          <w:lang w:val="en-US" w:eastAsia="zh-CN"/>
        </w:rPr>
        <w:t>企业</w:t>
      </w:r>
      <w:r>
        <w:rPr>
          <w:rFonts w:hint="eastAsia" w:ascii="宋体" w:hAnsi="宋体"/>
          <w:bCs/>
          <w:szCs w:val="21"/>
        </w:rPr>
        <w:t>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提供2020年三个季度年目标完成统计考核，均已达标。</w:t>
      </w:r>
    </w:p>
    <w:p>
      <w:pPr>
        <w:widowControl/>
        <w:numPr>
          <w:ilvl w:val="0"/>
          <w:numId w:val="2"/>
        </w:numPr>
        <w:spacing w:line="360" w:lineRule="auto"/>
        <w:ind w:left="0" w:leftChars="0" w:firstLine="0" w:firstLineChars="0"/>
        <w:rPr>
          <w:rFonts w:hint="eastAsia" w:asciiTheme="minorEastAsia" w:hAnsiTheme="minorEastAsia"/>
          <w:bCs/>
          <w:szCs w:val="21"/>
          <w:lang w:val="en-US" w:eastAsia="zh-CN"/>
        </w:rPr>
      </w:pPr>
      <w:r>
        <w:rPr>
          <w:rFonts w:hint="eastAsia" w:asciiTheme="minorEastAsia" w:hAnsiTheme="minorEastAsia"/>
          <w:bCs/>
          <w:szCs w:val="21"/>
        </w:rPr>
        <w:t>对企业组织任何变更的审核</w:t>
      </w:r>
      <w:r>
        <w:rPr>
          <w:rFonts w:hint="eastAsia" w:asciiTheme="minorEastAsia" w:hAnsiTheme="minorEastAsia"/>
          <w:bCs/>
          <w:szCs w:val="21"/>
          <w:lang w:val="en-US" w:eastAsia="zh-CN"/>
        </w:rPr>
        <w:t>;</w:t>
      </w:r>
    </w:p>
    <w:p>
      <w:pPr>
        <w:widowControl/>
        <w:numPr>
          <w:ilvl w:val="0"/>
          <w:numId w:val="0"/>
        </w:numPr>
        <w:spacing w:line="360" w:lineRule="auto"/>
        <w:ind w:leftChars="0"/>
        <w:rPr>
          <w:rFonts w:hint="default" w:asciiTheme="minorEastAsia" w:hAnsiTheme="minorEastAsia"/>
          <w:bCs/>
          <w:szCs w:val="21"/>
          <w:lang w:val="en-US" w:eastAsia="zh-CN"/>
        </w:rPr>
      </w:pPr>
      <w:r>
        <w:rPr>
          <w:rFonts w:hint="eastAsia" w:asciiTheme="minorEastAsia" w:hAnsiTheme="minorEastAsia"/>
          <w:bCs/>
          <w:szCs w:val="21"/>
          <w:lang w:val="en-US" w:eastAsia="zh-CN"/>
        </w:rPr>
        <w:t xml:space="preserve">   </w:t>
      </w:r>
      <w:r>
        <w:rPr>
          <w:rFonts w:hint="eastAsia" w:asciiTheme="minorEastAsia" w:hAnsiTheme="minorEastAsia"/>
          <w:bCs/>
          <w:szCs w:val="21"/>
        </w:rPr>
        <w:t>企业在本年度内未发生与本审核有关的变更。</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360" w:lineRule="auto"/>
        <w:ind w:leftChars="0"/>
        <w:rPr>
          <w:rFonts w:hint="eastAsia" w:ascii="宋体" w:hAnsi="宋体" w:cs="宋体"/>
          <w:bCs/>
          <w:kern w:val="0"/>
          <w:szCs w:val="21"/>
        </w:rPr>
      </w:pPr>
      <w:r>
        <w:rPr>
          <w:rFonts w:hint="eastAsia" w:cs="宋体" w:asciiTheme="minorEastAsia" w:hAnsiTheme="minorEastAsia"/>
          <w:bCs/>
          <w:kern w:val="0"/>
          <w:szCs w:val="21"/>
          <w:lang w:val="en-US" w:eastAsia="zh-CN"/>
        </w:rPr>
        <w:t xml:space="preserve">  </w:t>
      </w:r>
      <w:r>
        <w:rPr>
          <w:rFonts w:hint="eastAsia" w:ascii="宋体" w:hAnsi="宋体" w:cs="宋体"/>
          <w:bCs/>
          <w:kern w:val="0"/>
          <w:szCs w:val="21"/>
        </w:rPr>
        <w:t>该</w:t>
      </w:r>
      <w:r>
        <w:rPr>
          <w:rFonts w:hint="eastAsia" w:ascii="宋体" w:hAnsi="宋体" w:cs="宋体"/>
          <w:bCs/>
          <w:kern w:val="0"/>
          <w:szCs w:val="21"/>
          <w:lang w:val="en-US" w:eastAsia="zh-CN"/>
        </w:rPr>
        <w:t>公司</w:t>
      </w:r>
      <w:r>
        <w:rPr>
          <w:rFonts w:hint="eastAsia" w:ascii="宋体" w:hAnsi="宋体" w:cs="宋体"/>
          <w:bCs/>
          <w:kern w:val="0"/>
          <w:szCs w:val="21"/>
        </w:rPr>
        <w:t>已按北京国标联合认证有限公司要求正确使用标志和证书。</w:t>
      </w:r>
    </w:p>
    <w:p>
      <w:pPr>
        <w:widowControl/>
        <w:numPr>
          <w:ilvl w:val="0"/>
          <w:numId w:val="2"/>
        </w:numPr>
        <w:spacing w:line="360" w:lineRule="auto"/>
        <w:ind w:left="0" w:leftChars="0" w:firstLine="0" w:firstLineChars="0"/>
        <w:rPr>
          <w:rFonts w:hint="eastAsia" w:ascii="宋体" w:hAnsi="宋体" w:eastAsia="宋体" w:cs="宋体"/>
          <w:kern w:val="0"/>
          <w:szCs w:val="21"/>
        </w:rPr>
      </w:pPr>
      <w:r>
        <w:rPr>
          <w:rFonts w:hint="eastAsia" w:ascii="宋体" w:hAnsi="宋体" w:eastAsia="宋体" w:cs="宋体"/>
          <w:kern w:val="0"/>
          <w:szCs w:val="21"/>
        </w:rPr>
        <w:t>本次监督审核共出具</w:t>
      </w:r>
      <w:r>
        <w:rPr>
          <w:rFonts w:hint="eastAsia" w:ascii="宋体" w:hAnsi="宋体" w:eastAsia="宋体" w:cs="宋体"/>
          <w:kern w:val="0"/>
          <w:szCs w:val="21"/>
          <w:lang w:val="en-US" w:eastAsia="zh-CN"/>
        </w:rPr>
        <w:t>次要</w:t>
      </w:r>
      <w:r>
        <w:rPr>
          <w:rFonts w:hint="eastAsia" w:ascii="宋体" w:hAnsi="宋体" w:eastAsia="宋体" w:cs="宋体"/>
          <w:kern w:val="0"/>
          <w:szCs w:val="21"/>
        </w:rPr>
        <w:t>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10.1 </w:t>
      </w:r>
      <w:r>
        <w:rPr>
          <w:rFonts w:hint="eastAsia" w:ascii="宋体" w:hAnsi="宋体" w:cs="宋体"/>
          <w:kern w:val="0"/>
          <w:szCs w:val="21"/>
          <w:lang w:val="en-US" w:eastAsia="zh-CN"/>
        </w:rPr>
        <w:t>在技术质量部检查发现对该公司提供检测校准服务的外部供方：宝鸡市质量技术检验检测中心、深圳新广行</w:t>
      </w:r>
      <w:r>
        <w:rPr>
          <w:rFonts w:hint="eastAsia"/>
          <w:szCs w:val="21"/>
          <w:lang w:val="en-US" w:eastAsia="zh-CN"/>
        </w:rPr>
        <w:t>检测技术有限公司、岐山县质量技术监督检测检验所等机构均未收集能力证明材料并实施评价，不符合GB/T19022标准条款6.4要求。</w:t>
      </w:r>
    </w:p>
    <w:p>
      <w:pPr>
        <w:widowControl/>
        <w:numPr>
          <w:ilvl w:val="0"/>
          <w:numId w:val="0"/>
        </w:numPr>
        <w:spacing w:line="276" w:lineRule="auto"/>
        <w:ind w:leftChars="0"/>
        <w:rPr>
          <w:rFonts w:hint="default" w:ascii="宋体" w:hAnsi="宋体" w:eastAsia="宋体" w:cs="宋体"/>
          <w:kern w:val="0"/>
          <w:szCs w:val="21"/>
          <w:lang w:val="en-US" w:eastAsia="zh-CN"/>
        </w:rPr>
      </w:pP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r>
        <w:rPr>
          <w:rFonts w:hint="eastAsia" w:ascii="宋体" w:hAnsi="宋体" w:eastAsia="宋体" w:cs="宋体"/>
          <w:kern w:val="0"/>
          <w:szCs w:val="28"/>
          <w:lang w:val="en-US" w:eastAsia="zh-CN"/>
        </w:rPr>
        <w:t xml:space="preserve">  </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kern w:val="0"/>
          <w:szCs w:val="28"/>
          <w:lang w:val="en-US" w:eastAsia="zh-CN"/>
        </w:rPr>
        <w:t xml:space="preserve"> </w:t>
      </w: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12</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12</w:t>
      </w:r>
      <w:r>
        <w:rPr>
          <w:rFonts w:hint="eastAsia" w:ascii="宋体" w:hAnsi="宋体" w:eastAsia="宋体" w:cs="宋体"/>
          <w:bCs/>
          <w:kern w:val="0"/>
          <w:szCs w:val="21"/>
        </w:rPr>
        <w:t>日</w:t>
      </w:r>
      <w:r>
        <w:rPr>
          <w:rFonts w:hint="eastAsia" w:ascii="宋体" w:hAnsi="宋体" w:eastAsia="宋体" w:cs="宋体"/>
          <w:bCs/>
          <w:kern w:val="0"/>
          <w:szCs w:val="21"/>
          <w:lang w:val="en-US" w:eastAsia="zh-CN"/>
        </w:rPr>
        <w:t>下午-13日上午</w:t>
      </w:r>
      <w:r>
        <w:rPr>
          <w:rFonts w:hint="eastAsia" w:ascii="宋体" w:hAnsi="宋体" w:eastAsia="宋体" w:cs="宋体"/>
          <w:bCs/>
          <w:kern w:val="0"/>
          <w:szCs w:val="21"/>
        </w:rPr>
        <w:t>对</w:t>
      </w:r>
      <w:r>
        <w:rPr>
          <w:rFonts w:cs="宋体" w:asciiTheme="minorEastAsia" w:hAnsiTheme="minorEastAsia"/>
          <w:kern w:val="0"/>
          <w:szCs w:val="21"/>
        </w:rPr>
        <w:t>宝鸡市东兴锻造有限公司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w:t>
      </w:r>
      <w:r>
        <w:rPr>
          <w:rFonts w:hint="eastAsia" w:ascii="宋体" w:hAnsi="宋体" w:eastAsia="宋体" w:cs="宋体"/>
          <w:bCs/>
          <w:kern w:val="0"/>
          <w:szCs w:val="21"/>
          <w:lang w:val="en-US" w:eastAsia="zh-CN"/>
        </w:rPr>
        <w:t>该公司</w:t>
      </w:r>
      <w:r>
        <w:rPr>
          <w:rFonts w:hint="eastAsia" w:ascii="宋体" w:hAnsi="宋体" w:eastAsia="宋体" w:cs="宋体"/>
          <w:bCs/>
          <w:kern w:val="0"/>
          <w:szCs w:val="21"/>
        </w:rPr>
        <w:t>领导重视计量工作，测量管理体系文件资料完整，计量相关部门及人员岗位职责明确。配备的检测设备实行分类管理并通过量值溯源，用于关键、重要测量过程的测量设备均通过计量确认。现场在用测量设备状况良好,检测记录齐全，关键测量过程受控、监视方法正确有效，重要测量人员能力受控，测量设备、测量环境、测量记录等各项工作，测量管理体系通过一年来的运行更加完善和规范，使</w:t>
      </w:r>
      <w:r>
        <w:rPr>
          <w:rFonts w:hint="eastAsia" w:ascii="宋体" w:hAnsi="宋体" w:eastAsia="宋体" w:cs="宋体"/>
          <w:bCs/>
          <w:kern w:val="0"/>
          <w:szCs w:val="21"/>
          <w:lang w:val="en-US" w:eastAsia="zh-CN"/>
        </w:rPr>
        <w:t>企业</w:t>
      </w:r>
      <w:r>
        <w:rPr>
          <w:rFonts w:hint="eastAsia" w:ascii="宋体" w:hAnsi="宋体" w:eastAsia="宋体" w:cs="宋体"/>
          <w:bCs/>
          <w:kern w:val="0"/>
          <w:szCs w:val="21"/>
        </w:rPr>
        <w:t>测量体系持续满足顾客的测量要求。经审核表明，</w:t>
      </w:r>
      <w:r>
        <w:rPr>
          <w:rFonts w:cs="宋体" w:asciiTheme="minorEastAsia" w:hAnsiTheme="minorEastAsia"/>
          <w:kern w:val="0"/>
          <w:szCs w:val="21"/>
        </w:rPr>
        <w:t>宝鸡市东兴锻造有限公司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numPr>
          <w:ilvl w:val="0"/>
          <w:numId w:val="0"/>
        </w:numPr>
        <w:spacing w:line="276" w:lineRule="auto"/>
        <w:ind w:firstLine="420" w:firstLineChars="200"/>
        <w:rPr>
          <w:rFonts w:hint="default" w:ascii="宋体" w:hAnsi="宋体" w:eastAsia="宋体" w:cs="宋体"/>
          <w:kern w:val="0"/>
          <w:szCs w:val="28"/>
          <w:lang w:val="en-US" w:eastAsia="zh-CN"/>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ascii="宋体" w:hAnsi="宋体" w:eastAsia="宋体" w:cs="宋体"/>
          <w:kern w:val="0"/>
          <w:szCs w:val="28"/>
        </w:rPr>
      </w:pPr>
      <w:bookmarkStart w:id="11" w:name="_GoBack"/>
      <w:bookmarkEnd w:id="11"/>
    </w:p>
    <w:p>
      <w:pPr>
        <w:widowControl/>
        <w:spacing w:line="276" w:lineRule="auto"/>
        <w:ind w:right="945"/>
        <w:jc w:val="right"/>
        <w:rPr>
          <w:rFonts w:ascii="宋体" w:hAnsi="宋体" w:eastAsia="宋体" w:cs="宋体"/>
          <w:kern w:val="0"/>
          <w:szCs w:val="28"/>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6848" behindDoc="0" locked="0" layoutInCell="1" allowOverlap="1">
            <wp:simplePos x="0" y="0"/>
            <wp:positionH relativeFrom="column">
              <wp:posOffset>2906395</wp:posOffset>
            </wp:positionH>
            <wp:positionV relativeFrom="paragraph">
              <wp:posOffset>36195</wp:posOffset>
            </wp:positionV>
            <wp:extent cx="664210" cy="455930"/>
            <wp:effectExtent l="0" t="0" r="889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664210" cy="455930"/>
                    </a:xfrm>
                    <a:prstGeom prst="rect">
                      <a:avLst/>
                    </a:prstGeom>
                  </pic:spPr>
                </pic:pic>
              </a:graphicData>
            </a:graphic>
          </wp:anchor>
        </w:drawing>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r>
        <w:rPr>
          <w:rFonts w:hint="eastAsia" w:ascii="宋体" w:hAnsi="宋体" w:eastAsia="宋体" w:cs="宋体"/>
          <w:kern w:val="0"/>
          <w:szCs w:val="28"/>
          <w:lang w:val="en-US" w:eastAsia="zh-CN"/>
        </w:rPr>
        <w:t>2020.12.13</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1"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_x0000_s1026" o:spid="_x0000_s1026" o:spt="202" type="#_x0000_t202" style="position:absolute;left:0pt;margin-left:288.95pt;margin-top:15.6pt;height:20.6pt;width:173.9pt;z-index:251658240;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RogH9cAAAAJAQAADwAAAAAAAAABACAAAAAiAAAAZHJzL2Rvd25yZXYueG1s&#10;UEsBAhQAFAAAAAgAh07iQASvJjjAAQAAdwMAAA4AAAAAAAAAAQAgAAAAJgEAAGRycy9lMm9Eb2Mu&#10;eG1sUEsFBgAAAAAGAAYAWQEAAFgFA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0" t="4445" r="5080" b="5715"/>
              <wp:wrapNone/>
              <wp:docPr id="4"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59264;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RKAA1gAAAAcBAAAPAAAAAAAAAAEAIAAAACIAAABkcnMvZG93bnJldi54bWxQSwECFAAUAAAACACH&#10;TuJAlrI9UO0BAADeAwAADgAAAAAAAAABACAAAAAlAQAAZHJzL2Uyb0RvYy54bWxQSwUGAAAAAAYA&#10;BgBZAQAAhAUAAAAA&#10;">
              <v:fill on="f" focussize="0,0"/>
              <v:stroke color="#000000" joinstyle="round"/>
              <v:imagedata o:title=""/>
              <o:lock v:ext="edit" aspectratio="f"/>
            </v:line>
          </w:pict>
        </mc:Fallback>
      </mc:AlternateConten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7A9C9"/>
    <w:multiLevelType w:val="singleLevel"/>
    <w:tmpl w:val="C2B7A9C9"/>
    <w:lvl w:ilvl="0" w:tentative="0">
      <w:start w:val="2"/>
      <w:numFmt w:val="decimal"/>
      <w:lvlText w:val="%1."/>
      <w:lvlJc w:val="left"/>
      <w:pPr>
        <w:tabs>
          <w:tab w:val="left" w:pos="312"/>
        </w:tabs>
      </w:pPr>
    </w:lvl>
  </w:abstractNum>
  <w:abstractNum w:abstractNumId="1">
    <w:nsid w:val="FAD38D7B"/>
    <w:multiLevelType w:val="singleLevel"/>
    <w:tmpl w:val="FAD38D7B"/>
    <w:lvl w:ilvl="0" w:tentative="0">
      <w:start w:val="6"/>
      <w:numFmt w:val="decimal"/>
      <w:lvlText w:val="%1."/>
      <w:lvlJc w:val="left"/>
      <w:pPr>
        <w:tabs>
          <w:tab w:val="left" w:pos="312"/>
        </w:tabs>
      </w:pPr>
    </w:lvl>
  </w:abstractNum>
  <w:abstractNum w:abstractNumId="2">
    <w:nsid w:val="6171E92C"/>
    <w:multiLevelType w:val="singleLevel"/>
    <w:tmpl w:val="6171E92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30365"/>
    <w:rsid w:val="17866019"/>
    <w:rsid w:val="2B0A619B"/>
    <w:rsid w:val="437E0D99"/>
    <w:rsid w:val="4B3060D9"/>
    <w:rsid w:val="70EF5890"/>
    <w:rsid w:val="7544189B"/>
    <w:rsid w:val="7DE72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2020-12-13T18:04:27Z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