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重庆吉能达机电仪表设备有限公司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重庆吉能达机电仪表设备有限公司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重庆市南岸区江南大道19号(城市之光)1幢1单元26-4号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重庆市南岸区江南大道19号(城市之光)1幢1单元26-4号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化亭云</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023-86119121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纪绪文</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eastAsia" w:ascii="宋体" w:hAnsi="宋体" w:eastAsia="宋体"/>
                <w:b/>
                <w:color w:val="000000" w:themeColor="text1"/>
                <w:spacing w:val="-20"/>
                <w:sz w:val="20"/>
                <w:szCs w:val="20"/>
                <w:lang w:val="en-US" w:eastAsia="zh-CN"/>
              </w:rPr>
            </w:pPr>
            <w:bookmarkStart w:id="15" w:name="最高管理者"/>
            <w:bookmarkEnd w:id="15"/>
            <w:r>
              <w:rPr>
                <w:rFonts w:ascii="宋体"/>
                <w:b/>
                <w:color w:val="000000"/>
                <w:sz w:val="20"/>
                <w:szCs w:val="20"/>
              </w:rPr>
              <w:t>纪绪</w:t>
            </w:r>
            <w:r>
              <w:rPr>
                <w:rFonts w:hint="eastAsia" w:ascii="宋体"/>
                <w:b/>
                <w:color w:val="000000"/>
                <w:sz w:val="20"/>
                <w:szCs w:val="20"/>
                <w:lang w:val="en-US" w:eastAsia="zh-CN"/>
              </w:rPr>
              <w:t>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纪绪林</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紧固件（锁销类）、检测仪器设备、汽车行业工位器具的销售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val="en-US" w:eastAsia="zh-CN"/>
              </w:rPr>
              <w:t>销售</w:t>
            </w:r>
            <w:r>
              <w:rPr>
                <w:rFonts w:hint="eastAsia" w:ascii="宋体" w:hAnsi="宋体"/>
                <w:b/>
                <w:color w:val="000000" w:themeColor="text1"/>
                <w:spacing w:val="-20"/>
                <w:sz w:val="20"/>
                <w:szCs w:val="20"/>
                <w:u w:val="none"/>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纠正和预防措施控制；策划管理；过程监控管理；监视和测量设备管理；服务过程管理；设备设施管理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val="en-US" w:eastAsia="zh-CN"/>
              </w:rPr>
              <w:t>采购</w:t>
            </w:r>
            <w:r>
              <w:rPr>
                <w:rFonts w:hint="eastAsia" w:ascii="宋体" w:hAnsi="宋体"/>
                <w:b/>
                <w:color w:val="000000" w:themeColor="text1"/>
                <w:spacing w:val="-20"/>
                <w:sz w:val="20"/>
                <w:szCs w:val="20"/>
                <w:u w:val="none"/>
              </w:rPr>
              <w:t>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产品验收管理；不合格品控制；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u w:val="none"/>
                <w:lang w:val="en-US" w:eastAsia="zh-CN" w:bidi="ar-SA"/>
              </w:rPr>
            </w:pP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30" w:type="dxa"/>
          </w:tcPr>
          <w:p>
            <w:pPr>
              <w:rPr>
                <w:b/>
                <w:color w:val="000000" w:themeColor="text1"/>
                <w:sz w:val="20"/>
                <w:szCs w:val="20"/>
              </w:rPr>
            </w:pPr>
            <w:r>
              <w:rPr>
                <w:sz w:val="20"/>
              </w:rPr>
              <w:t>紧固件（锁销类）、检测仪器设备、汽车行业工位器具的销售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b/>
                <w:color w:val="000000" w:themeColor="text1"/>
                <w:sz w:val="20"/>
                <w:szCs w:val="20"/>
              </w:rPr>
            </w:pPr>
            <w:r>
              <w:rPr>
                <w:rFonts w:hint="eastAsia" w:ascii="宋体" w:hAnsi="宋体" w:eastAsia="宋体" w:cs="Times New Roman"/>
                <w:b w:val="0"/>
                <w:color w:val="000000" w:themeColor="text1"/>
                <w:kern w:val="2"/>
                <w:sz w:val="21"/>
                <w:szCs w:val="21"/>
                <w:lang w:val="en-US" w:eastAsia="zh-CN" w:bidi="ar-SA"/>
              </w:rPr>
              <w:t>中华人民共和国合同法、中华人民共和国消费者权益保护法、中华人民共和国价格法、中华人民共和国产品质量法及</w:t>
            </w:r>
            <w:r>
              <w:rPr>
                <w:rFonts w:hint="eastAsia" w:ascii="宋体" w:hAnsi="宋体" w:eastAsia="宋体" w:cs="Times New Roman"/>
                <w:b w:val="0"/>
                <w:color w:val="000000" w:themeColor="text1"/>
                <w:kern w:val="2"/>
                <w:sz w:val="21"/>
                <w:szCs w:val="21"/>
                <w:lang w:val="en-US" w:eastAsia="zh-CN" w:bidi="ar-SA"/>
              </w:rPr>
              <w:t>GB/T 91-2000开口销、ISO 8748-2007 弹性圆柱销.卷制、重型(德标)、ISO 8750-1997 标准型卷制弹性圆柱销(德标)、JIS B 2808 弹簧销(日标)</w:t>
            </w:r>
            <w:r>
              <w:rPr>
                <w:rFonts w:hint="eastAsia" w:cs="Times New Roman"/>
                <w:b w:val="0"/>
                <w:color w:val="000000" w:themeColor="text1"/>
                <w:kern w:val="2"/>
                <w:sz w:val="21"/>
                <w:szCs w:val="21"/>
                <w:lang w:val="en-US" w:eastAsia="zh-CN" w:bidi="ar-SA"/>
              </w:rPr>
              <w:t>等</w:t>
            </w:r>
            <w:r>
              <w:rPr>
                <w:rFonts w:hint="eastAsia" w:ascii="宋体" w:hAnsi="宋体" w:eastAsia="宋体" w:cs="Times New Roman"/>
                <w:b w:val="0"/>
                <w:color w:val="000000" w:themeColor="text1"/>
                <w:kern w:val="2"/>
                <w:sz w:val="21"/>
                <w:szCs w:val="21"/>
                <w:lang w:val="en-US" w:eastAsia="zh-CN" w:bidi="ar-SA"/>
              </w:rPr>
              <w:t>标准</w:t>
            </w:r>
            <w:r>
              <w:rPr>
                <w:rFonts w:hint="eastAsia" w:cs="Times New Roman"/>
                <w:b w:val="0"/>
                <w:color w:val="000000" w:themeColor="text1"/>
                <w:kern w:val="2"/>
                <w:sz w:val="21"/>
                <w:szCs w:val="21"/>
                <w:lang w:val="en-US" w:eastAsia="zh-CN" w:bidi="ar-SA"/>
              </w:rPr>
              <w:t>及客户合同要求</w:t>
            </w:r>
            <w:r>
              <w:rPr>
                <w:rFonts w:hint="eastAsia" w:ascii="宋体" w:hAnsi="宋体" w:eastAsia="宋体" w:cs="Times New Roman"/>
                <w:b w:val="0"/>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16</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szCs w:val="21"/>
              </w:rPr>
              <w:fldChar w:fldCharType="begin"/>
            </w:r>
            <w:r>
              <w:rPr>
                <w:rFonts w:ascii="宋体" w:hAnsi="宋体"/>
                <w:szCs w:val="21"/>
                <w:lang w:eastAsia="zh-CN"/>
              </w:rPr>
              <w:instrText xml:space="preserve"> </w:instrText>
            </w:r>
            <w:r>
              <w:rPr>
                <w:rFonts w:hint="eastAsia" w:ascii="宋体" w:hAnsi="宋体"/>
                <w:szCs w:val="21"/>
                <w:lang w:eastAsia="zh-CN"/>
              </w:rPr>
              <w:instrText xml:space="preserve">LINK </w:instrText>
            </w:r>
            <w:r>
              <w:rPr>
                <w:rFonts w:ascii="宋体" w:hAnsi="宋体"/>
                <w:szCs w:val="21"/>
                <w:lang w:eastAsia="zh-CN"/>
              </w:rPr>
              <w:instrText xml:space="preserve">Excel.Sheet.8 C:\\Users\\静\\Desktop\\ISO9001模板\\ISO9001-2015关键表单.xlsx 企业状况调查!R16C2 </w:instrText>
            </w:r>
            <w:r>
              <w:rPr>
                <w:rFonts w:hint="eastAsia" w:ascii="宋体" w:hAnsi="宋体"/>
                <w:szCs w:val="21"/>
                <w:lang w:eastAsia="zh-CN"/>
              </w:rPr>
              <w:instrText xml:space="preserve">\a \t</w:instrText>
            </w:r>
            <w:r>
              <w:rPr>
                <w:rFonts w:ascii="宋体" w:hAnsi="宋体"/>
                <w:szCs w:val="21"/>
                <w:lang w:eastAsia="zh-CN"/>
              </w:rPr>
              <w:instrText xml:space="preserve">  \* MERGEFORMAT </w:instrText>
            </w:r>
            <w:r>
              <w:rPr>
                <w:rFonts w:ascii="宋体" w:hAnsi="宋体"/>
                <w:szCs w:val="21"/>
              </w:rPr>
              <w:fldChar w:fldCharType="separate"/>
            </w:r>
            <w:r>
              <w:rPr>
                <w:rFonts w:hint="eastAsia"/>
                <w:lang w:eastAsia="zh-CN"/>
              </w:rPr>
              <w:t>用先进技术和优质服务帮助客户实现设备资产安全高效运行</w:t>
            </w:r>
            <w:r>
              <w:rPr>
                <w:rFonts w:ascii="宋体" w:hAnsi="宋体"/>
                <w:szCs w:val="21"/>
              </w:rPr>
              <w:fldChar w:fldCharType="end"/>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sz w:val="21"/>
                <w:szCs w:val="21"/>
                <w:lang w:eastAsia="zh-CN"/>
              </w:rPr>
              <w:t>质</w:t>
            </w:r>
            <w:r>
              <w:rPr>
                <w:rFonts w:hint="eastAsia" w:ascii="宋体" w:hAnsi="宋体"/>
                <w:color w:val="000000" w:themeColor="text1"/>
                <w:sz w:val="21"/>
                <w:szCs w:val="21"/>
                <w:lang w:eastAsia="zh-CN"/>
                <w14:textFill>
                  <w14:solidFill>
                    <w14:schemeClr w14:val="tx1"/>
                  </w14:solidFill>
                </w14:textFill>
              </w:rPr>
              <w:t>量管理体系过程有：</w:t>
            </w:r>
          </w:p>
          <w:p>
            <w:pPr>
              <w:spacing w:line="360" w:lineRule="auto"/>
              <w:rPr>
                <w:rFonts w:hint="default" w:ascii="宋体" w:hAnsi="宋体" w:eastAsia="宋体"/>
                <w:color w:val="000000" w:themeColor="text1"/>
                <w:szCs w:val="22"/>
                <w:lang w:val="en-US" w:eastAsia="zh-CN"/>
                <w14:textFill>
                  <w14:solidFill>
                    <w14:schemeClr w14:val="tx1"/>
                  </w14:solidFill>
                </w14:textFill>
              </w:rPr>
            </w:pPr>
            <w:r>
              <w:rPr>
                <w:rFonts w:hint="eastAsia" w:ascii="宋体" w:hAnsi="宋体" w:eastAsia="宋体"/>
                <w:color w:val="000000" w:themeColor="text1"/>
                <w:szCs w:val="22"/>
                <w:lang w:eastAsia="zh-CN"/>
                <w14:textFill>
                  <w14:solidFill>
                    <w14:schemeClr w14:val="tx1"/>
                  </w14:solidFill>
                </w14:textFill>
              </w:rPr>
              <w:t>销售过程：</w:t>
            </w:r>
            <w:r>
              <w:rPr>
                <w:rFonts w:hint="eastAsia" w:ascii="宋体" w:hAnsi="宋体" w:eastAsia="宋体"/>
                <w:color w:val="000000" w:themeColor="text1"/>
                <w:szCs w:val="22"/>
                <w:lang w:val="en-US" w:eastAsia="zh-CN"/>
                <w14:textFill>
                  <w14:solidFill>
                    <w14:schemeClr w14:val="tx1"/>
                  </w14:solidFill>
                </w14:textFill>
              </w:rPr>
              <w:t>顾客</w:t>
            </w:r>
            <w:r>
              <w:rPr>
                <w:rFonts w:hint="eastAsia" w:ascii="宋体" w:hAnsi="宋体" w:eastAsia="宋体"/>
                <w:color w:val="000000" w:themeColor="text1"/>
                <w:szCs w:val="22"/>
                <w:lang w:eastAsia="zh-CN"/>
                <w14:textFill>
                  <w14:solidFill>
                    <w14:schemeClr w14:val="tx1"/>
                  </w14:solidFill>
                </w14:textFill>
              </w:rPr>
              <w:t>需求---签订</w:t>
            </w:r>
            <w:r>
              <w:rPr>
                <w:rFonts w:hint="eastAsia" w:ascii="宋体" w:hAnsi="宋体" w:eastAsia="宋体"/>
                <w:color w:val="000000" w:themeColor="text1"/>
                <w:szCs w:val="22"/>
                <w:lang w:val="en-US" w:eastAsia="zh-CN"/>
                <w14:textFill>
                  <w14:solidFill>
                    <w14:schemeClr w14:val="tx1"/>
                  </w14:solidFill>
                </w14:textFill>
              </w:rPr>
              <w:t>销售协议</w:t>
            </w:r>
            <w:r>
              <w:rPr>
                <w:rFonts w:hint="eastAsia" w:ascii="宋体" w:hAnsi="宋体" w:eastAsia="宋体"/>
                <w:color w:val="000000" w:themeColor="text1"/>
                <w:szCs w:val="22"/>
                <w:lang w:eastAsia="zh-CN"/>
                <w14:textFill>
                  <w14:solidFill>
                    <w14:schemeClr w14:val="tx1"/>
                  </w14:solidFill>
                </w14:textFill>
              </w:rPr>
              <w:t>—采购—验收—交</w:t>
            </w:r>
            <w:r>
              <w:rPr>
                <w:rFonts w:hint="eastAsia" w:ascii="宋体" w:hAnsi="宋体" w:eastAsia="宋体"/>
                <w:color w:val="000000" w:themeColor="text1"/>
                <w:szCs w:val="22"/>
                <w:lang w:val="en-US" w:eastAsia="zh-CN"/>
                <w14:textFill>
                  <w14:solidFill>
                    <w14:schemeClr w14:val="tx1"/>
                  </w14:solidFill>
                </w14:textFill>
              </w:rPr>
              <w:t>付-售后</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关键过程：销售过程。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需确认/特殊过程：销售过程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eastAsia="宋体" w:cs="宋体"/>
                <w:color w:val="000000"/>
                <w:szCs w:val="21"/>
                <w:lang w:eastAsia="zh-CN"/>
              </w:rPr>
              <w:t>公司产品均为销售，根据客户要求及合同要求进行销售，不涉及设计开发工作</w:t>
            </w:r>
            <w:r>
              <w:rPr>
                <w:rFonts w:hint="eastAsia" w:ascii="宋体" w:hAnsi="宋体"/>
                <w:sz w:val="21"/>
                <w:szCs w:val="21"/>
              </w:rPr>
              <w:t>。故GB/T19001-2016标准8.3条款不适用，对于该条款的不适用不影响组织向顾客提供合格产品及满足相关法律法规要求的能力和责任</w:t>
            </w:r>
            <w:r>
              <w:rPr>
                <w:rFonts w:hint="eastAsia" w:ascii="宋体" w:hAnsi="宋体" w:cs="Times New Roman"/>
                <w:color w:val="000000" w:themeColor="text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widowControl w:val="0"/>
              <w:tabs>
                <w:tab w:val="left" w:pos="703"/>
              </w:tabs>
              <w:spacing w:after="0"/>
              <w:ind w:left="420" w:leftChars="200" w:firstLine="0" w:firstLineChars="0"/>
              <w:jc w:val="both"/>
              <w:rPr>
                <w:rFonts w:ascii="宋体" w:hAnsi="宋体"/>
                <w:szCs w:val="21"/>
                <w:lang w:eastAsia="zh-CN"/>
              </w:rPr>
            </w:pPr>
            <w:r>
              <w:rPr>
                <w:rFonts w:hint="eastAsia" w:ascii="宋体" w:hAnsi="宋体"/>
                <w:szCs w:val="21"/>
                <w:lang w:eastAsia="zh-CN"/>
              </w:rPr>
              <w:t>a）</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企业状况调查!R18C2 \a \t  \* MERGEFORMAT </w:instrText>
            </w:r>
            <w:r>
              <w:rPr>
                <w:rFonts w:hint="eastAsia" w:ascii="宋体" w:hAnsi="宋体"/>
                <w:szCs w:val="21"/>
                <w:lang w:eastAsia="zh-CN"/>
              </w:rPr>
              <w:fldChar w:fldCharType="separate"/>
            </w:r>
            <w:r>
              <w:rPr>
                <w:rFonts w:hint="eastAsia" w:ascii="宋体" w:hAnsi="宋体"/>
                <w:szCs w:val="21"/>
                <w:lang w:eastAsia="zh-CN"/>
              </w:rPr>
              <w:t>产品交验合格率≥99%</w:t>
            </w:r>
            <w:r>
              <w:rPr>
                <w:rFonts w:hint="eastAsia" w:ascii="宋体" w:hAnsi="宋体"/>
                <w:szCs w:val="21"/>
                <w:lang w:eastAsia="zh-CN"/>
              </w:rPr>
              <w:fldChar w:fldCharType="end"/>
            </w:r>
          </w:p>
          <w:p>
            <w:pPr>
              <w:widowControl w:val="0"/>
              <w:tabs>
                <w:tab w:val="left" w:pos="703"/>
              </w:tabs>
              <w:spacing w:after="0"/>
              <w:ind w:left="420" w:leftChars="200" w:firstLine="0" w:firstLineChars="0"/>
              <w:jc w:val="both"/>
              <w:rPr>
                <w:rFonts w:ascii="宋体" w:hAnsi="宋体"/>
                <w:szCs w:val="21"/>
                <w:lang w:eastAsia="zh-CN"/>
              </w:rPr>
            </w:pPr>
            <w:r>
              <w:rPr>
                <w:rFonts w:hint="eastAsia" w:ascii="宋体" w:hAnsi="宋体"/>
                <w:szCs w:val="21"/>
                <w:lang w:eastAsia="zh-CN"/>
              </w:rPr>
              <w:t>b）</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企业状况调查!R19C2 \a \t  \* MERGEFORMAT </w:instrText>
            </w:r>
            <w:r>
              <w:rPr>
                <w:rFonts w:hint="eastAsia" w:ascii="宋体" w:hAnsi="宋体"/>
                <w:szCs w:val="21"/>
                <w:lang w:eastAsia="zh-CN"/>
              </w:rPr>
              <w:fldChar w:fldCharType="separate"/>
            </w:r>
            <w:r>
              <w:rPr>
                <w:rFonts w:hint="eastAsia" w:ascii="宋体" w:hAnsi="宋体"/>
                <w:szCs w:val="21"/>
                <w:lang w:eastAsia="zh-CN"/>
              </w:rPr>
              <w:t>客户满意率≥85%</w:t>
            </w:r>
            <w:r>
              <w:rPr>
                <w:rFonts w:hint="eastAsia" w:ascii="宋体" w:hAnsi="宋体"/>
                <w:szCs w:val="21"/>
                <w:lang w:eastAsia="zh-CN"/>
              </w:rPr>
              <w:fldChar w:fldCharType="end"/>
            </w:r>
          </w:p>
          <w:p>
            <w:pPr>
              <w:pStyle w:val="4"/>
              <w:numPr>
                <w:ilvl w:val="0"/>
                <w:numId w:val="0"/>
              </w:numPr>
              <w:tabs>
                <w:tab w:val="left" w:pos="1260"/>
              </w:tabs>
              <w:ind w:firstLine="420" w:firstLineChars="200"/>
              <w:rPr>
                <w:rFonts w:ascii="宋体" w:hAnsi="宋体"/>
                <w:b/>
                <w:color w:val="000000" w:themeColor="text1"/>
              </w:rPr>
            </w:pPr>
            <w:r>
              <w:rPr>
                <w:rFonts w:hint="eastAsia" w:ascii="宋体" w:hAnsi="宋体"/>
                <w:szCs w:val="21"/>
                <w:lang w:eastAsia="zh-CN"/>
              </w:rPr>
              <w:t>c）</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企业状况调查!R20C2 \a \t  \* MERGEFORMAT </w:instrText>
            </w:r>
            <w:r>
              <w:rPr>
                <w:rFonts w:hint="eastAsia" w:ascii="宋体" w:hAnsi="宋体"/>
                <w:szCs w:val="21"/>
                <w:lang w:eastAsia="zh-CN"/>
              </w:rPr>
              <w:fldChar w:fldCharType="separate"/>
            </w:r>
            <w:r>
              <w:rPr>
                <w:rFonts w:hint="eastAsia" w:ascii="宋体" w:hAnsi="宋体"/>
                <w:szCs w:val="21"/>
                <w:lang w:eastAsia="zh-CN"/>
              </w:rPr>
              <w:t>产品按时交付率≥95%</w:t>
            </w:r>
            <w:r>
              <w:rPr>
                <w:rFonts w:hint="eastAsia" w:ascii="宋体" w:hAnsi="宋体"/>
                <w:szCs w:val="21"/>
                <w:lang w:eastAsia="zh-CN"/>
              </w:rPr>
              <w:fldChar w:fldCharType="end"/>
            </w:r>
            <w:r>
              <w:rPr>
                <w:rFonts w:hint="eastAsia" w:ascii="宋体" w:hAnsi="宋体"/>
                <w:bCs/>
                <w:sz w:val="21"/>
                <w:szCs w:val="21"/>
                <w:lang w:eastAsia="zh-CN"/>
              </w:rPr>
              <w:t xml:space="preserve">  </w:t>
            </w:r>
            <w:r>
              <w:rPr>
                <w:rFonts w:hint="eastAsia" w:ascii="宋体" w:hAnsi="宋体" w:eastAsia="宋体" w:cs="Times New Roman"/>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01</w:t>
            </w:r>
            <w:r>
              <w:rPr>
                <w:rFonts w:hint="eastAsia" w:ascii="宋体" w:hAnsi="宋体" w:cs="宋体"/>
                <w:color w:val="000000" w:themeColor="text1"/>
              </w:rPr>
              <w:t>月</w:t>
            </w:r>
            <w:r>
              <w:rPr>
                <w:rFonts w:hint="eastAsia" w:ascii="宋体" w:hAnsi="宋体" w:cs="宋体"/>
                <w:color w:val="000000" w:themeColor="text1"/>
                <w:lang w:val="en-US" w:eastAsia="zh-CN"/>
              </w:rPr>
              <w:t>16</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(二)资源评价</w:t>
            </w:r>
          </w:p>
        </w:tc>
        <w:tc>
          <w:tcPr>
            <w:tcW w:w="9198" w:type="dxa"/>
          </w:tcPr>
          <w:p>
            <w:pPr>
              <w:spacing w:line="300" w:lineRule="exact"/>
              <w:rPr>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人力资源的简要说明</w:t>
            </w:r>
            <w:r>
              <w:rPr>
                <w:rFonts w:hint="eastAsia"/>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w:t>
            </w:r>
          </w:p>
          <w:p>
            <w:pPr>
              <w:tabs>
                <w:tab w:val="left" w:pos="2552"/>
              </w:tabs>
              <w:spacing w:line="0" w:lineRule="atLeast"/>
              <w:ind w:firstLine="420" w:firstLineChars="200"/>
              <w:rPr>
                <w:rFonts w:ascii="宋体" w:hAnsi="宋体"/>
                <w:bCs/>
                <w:iCs/>
                <w:color w:val="000000" w:themeColor="text1"/>
                <w:szCs w:val="22"/>
                <w14:textFill>
                  <w14:solidFill>
                    <w14:schemeClr w14:val="tx1"/>
                  </w14:solidFill>
                </w14:textFill>
              </w:rPr>
            </w:pPr>
            <w:r>
              <w:rPr>
                <w:rFonts w:hint="eastAsia" w:ascii="宋体" w:hAnsi="宋体"/>
                <w:bCs/>
                <w:iCs/>
                <w:color w:val="000000" w:themeColor="text1"/>
                <w14:textFill>
                  <w14:solidFill>
                    <w14:schemeClr w14:val="tx1"/>
                  </w14:solidFill>
                </w14:textFill>
              </w:rPr>
              <w:t>组</w:t>
            </w:r>
            <w:r>
              <w:rPr>
                <w:rFonts w:hint="eastAsia" w:ascii="宋体" w:hAnsi="宋体"/>
                <w:bCs/>
                <w:iCs/>
                <w:color w:val="000000" w:themeColor="text1"/>
                <w:szCs w:val="22"/>
                <w14:textFill>
                  <w14:solidFill>
                    <w14:schemeClr w14:val="tx1"/>
                  </w14:solidFill>
                </w14:textFill>
              </w:rPr>
              <w:t>织按管理体系需求配置了充足的人员、设施等资源，并建立维持了</w:t>
            </w:r>
            <w:r>
              <w:rPr>
                <w:rFonts w:hint="eastAsia" w:ascii="宋体" w:hAnsi="宋体"/>
                <w:color w:val="000000" w:themeColor="text1"/>
                <w:szCs w:val="21"/>
                <w14:textFill>
                  <w14:solidFill>
                    <w14:schemeClr w14:val="tx1"/>
                  </w14:solidFill>
                </w14:textFill>
              </w:rPr>
              <w:t>产品的生产</w:t>
            </w:r>
            <w:r>
              <w:rPr>
                <w:rFonts w:hint="eastAsia" w:ascii="宋体" w:hAnsi="宋体"/>
                <w:bCs/>
                <w:iCs/>
                <w:color w:val="000000" w:themeColor="text1"/>
                <w:szCs w:val="22"/>
                <w14:textFill>
                  <w14:solidFill>
                    <w14:schemeClr w14:val="tx1"/>
                  </w14:solidFill>
                </w14:textFill>
              </w:rPr>
              <w:t>及相关服务运行环境，可以维持管理体系的正常运行。</w:t>
            </w:r>
          </w:p>
          <w:p>
            <w:pPr>
              <w:spacing w:line="300" w:lineRule="exact"/>
              <w:rPr>
                <w:rFonts w:ascii="宋体" w:hAnsi="宋体"/>
                <w:b/>
                <w:color w:val="000000" w:themeColor="text1"/>
                <w:sz w:val="20"/>
                <w:szCs w:val="20"/>
                <w14:textFill>
                  <w14:solidFill>
                    <w14:schemeClr w14:val="tx1"/>
                  </w14:solidFill>
                </w14:textFill>
              </w:rPr>
            </w:pPr>
            <w:r>
              <w:rPr>
                <w:rFonts w:hint="eastAsia" w:ascii="宋体" w:hAnsi="宋体"/>
                <w:bCs/>
                <w:iCs/>
                <w:color w:val="000000" w:themeColor="text1"/>
                <w14:textFill>
                  <w14:solidFill>
                    <w14:schemeClr w14:val="tx1"/>
                  </w14:solidFill>
                </w14:textFill>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设备设施（包括信息系统）、</w:t>
            </w:r>
          </w:p>
          <w:p>
            <w:pPr>
              <w:spacing w:line="400" w:lineRule="exact"/>
              <w:ind w:firstLine="420" w:firstLineChars="200"/>
              <w:rPr>
                <w:rFonts w:ascii="宋体" w:hAnsi="宋体"/>
                <w:b/>
                <w:color w:val="000000" w:themeColor="text1"/>
                <w:sz w:val="20"/>
                <w:szCs w:val="20"/>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组织为租赁的办公场地，</w:t>
            </w:r>
            <w:r>
              <w:rPr>
                <w:rFonts w:hint="eastAsia" w:ascii="宋体" w:hAnsi="宋体"/>
                <w:color w:val="000000" w:themeColor="text1"/>
                <w:szCs w:val="21"/>
                <w14:textFill>
                  <w14:solidFill>
                    <w14:schemeClr w14:val="tx1"/>
                  </w14:solidFill>
                </w14:textFill>
              </w:rPr>
              <w:t>办公面积</w:t>
            </w:r>
            <w:r>
              <w:rPr>
                <w:rFonts w:hint="eastAsia" w:ascii="宋体" w:hAnsi="宋体"/>
                <w:color w:val="000000" w:themeColor="text1"/>
                <w:szCs w:val="21"/>
                <w:lang w:val="en-US" w:eastAsia="zh-CN"/>
                <w14:textFill>
                  <w14:solidFill>
                    <w14:schemeClr w14:val="tx1"/>
                  </w14:solidFill>
                </w14:textFill>
              </w:rPr>
              <w:t>60</w:t>
            </w:r>
            <w:r>
              <w:rPr>
                <w:rFonts w:hint="eastAsia" w:ascii="宋体" w:hAnsi="宋体"/>
                <w:color w:val="000000" w:themeColor="text1"/>
                <w:szCs w:val="21"/>
                <w14:textFill>
                  <w14:solidFill>
                    <w14:schemeClr w14:val="tx1"/>
                  </w14:solidFill>
                </w14:textFill>
              </w:rPr>
              <w:t>平方左右</w:t>
            </w:r>
            <w:r>
              <w:rPr>
                <w:rFonts w:hint="eastAsia"/>
                <w:color w:val="000000" w:themeColor="text1"/>
                <w:sz w:val="2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公司设置</w:t>
            </w:r>
            <w:r>
              <w:rPr>
                <w:rFonts w:hint="eastAsia" w:ascii="宋体" w:hAnsi="宋体"/>
                <w:color w:val="000000" w:themeColor="text1"/>
                <w:szCs w:val="21"/>
                <w:lang w:val="en-US" w:eastAsia="zh-CN"/>
                <w14:textFill>
                  <w14:solidFill>
                    <w14:schemeClr w14:val="tx1"/>
                  </w14:solidFill>
                </w14:textFill>
              </w:rPr>
              <w:t>有临时存放</w:t>
            </w:r>
            <w:r>
              <w:rPr>
                <w:rFonts w:hint="eastAsia" w:ascii="宋体" w:hAnsi="宋体"/>
                <w:color w:val="000000" w:themeColor="text1"/>
                <w:szCs w:val="21"/>
                <w14:textFill>
                  <w14:solidFill>
                    <w14:schemeClr w14:val="tx1"/>
                  </w14:solidFill>
                </w14:textFill>
              </w:rPr>
              <w:t>库房</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25平方</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为周转场地。主要生产设备包括小汽车、电脑及办公设备等，可以满足紧固件（锁销类）、检测仪器设备、汽车行业工位器具的销售需要。特种设备：无。公司未建立信息管理系统用于生产和服务。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szCs w:val="21"/>
              </w:rPr>
              <w:t>办公区域内</w:t>
            </w:r>
            <w:r>
              <w:rPr>
                <w:rFonts w:hint="eastAsia" w:ascii="宋体" w:hAnsi="宋体" w:cs="宋体"/>
                <w:szCs w:val="21"/>
              </w:rPr>
              <w:t>布置合理，通道畅通，照明设施齐全，均配备了消防设施等设施。办公室明亮，作业场所光线较充足。每月由</w:t>
            </w:r>
            <w:r>
              <w:rPr>
                <w:rFonts w:hint="eastAsia" w:ascii="宋体" w:hAnsi="宋体" w:cs="宋体"/>
                <w:szCs w:val="21"/>
                <w:lang w:val="en-US"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napToGrid w:val="0"/>
              <w:spacing w:line="280" w:lineRule="exact"/>
              <w:jc w:val="left"/>
              <w:rPr>
                <w:rFonts w:ascii="宋体" w:hAnsi="宋体"/>
                <w:b/>
                <w:color w:val="000000" w:themeColor="text1"/>
                <w:sz w:val="20"/>
                <w:szCs w:val="20"/>
              </w:rPr>
            </w:pPr>
            <w:r>
              <w:rPr>
                <w:rFonts w:hint="eastAsia" w:ascii="宋体" w:hAnsi="宋体" w:cs="宋体"/>
                <w:szCs w:val="21"/>
                <w:lang w:val="en-US" w:eastAsia="zh-CN"/>
              </w:rPr>
              <w:t>公司</w:t>
            </w:r>
            <w:r>
              <w:rPr>
                <w:rFonts w:hint="eastAsia" w:ascii="宋体" w:hAnsi="宋体" w:cs="宋体"/>
                <w:szCs w:val="21"/>
              </w:rPr>
              <w:t>按策划的要求配置了相应的检测设备，有</w:t>
            </w:r>
            <w:r>
              <w:rPr>
                <w:rFonts w:hint="eastAsia" w:ascii="宋体" w:hAnsi="宋体" w:cs="宋体"/>
                <w:color w:val="auto"/>
                <w:sz w:val="21"/>
                <w:szCs w:val="21"/>
                <w:lang w:eastAsia="zh-CN"/>
              </w:rPr>
              <w:t>游标卡尺、环规</w:t>
            </w:r>
            <w:r>
              <w:rPr>
                <w:rFonts w:hint="eastAsia" w:ascii="宋体" w:hAnsi="宋体" w:cs="宋体"/>
                <w:color w:val="auto"/>
                <w:sz w:val="21"/>
                <w:szCs w:val="21"/>
                <w:lang w:val="en-US" w:eastAsia="zh-CN"/>
              </w:rPr>
              <w:t>等</w:t>
            </w:r>
            <w:r>
              <w:rPr>
                <w:rFonts w:hint="eastAsia" w:ascii="宋体" w:hAnsi="宋体" w:cs="宋体"/>
                <w:szCs w:val="21"/>
                <w:lang w:eastAsia="zh-CN"/>
              </w:rPr>
              <w:t>量具</w:t>
            </w:r>
            <w:r>
              <w:rPr>
                <w:rFonts w:hint="eastAsia" w:ascii="宋体" w:hAnsi="宋体" w:cs="宋体"/>
                <w:szCs w:val="21"/>
              </w:rPr>
              <w:t>，均采用委外送检的方式。抽在用</w:t>
            </w:r>
            <w:r>
              <w:rPr>
                <w:rFonts w:hint="eastAsia" w:ascii="宋体" w:hAnsi="宋体" w:cs="宋体"/>
                <w:szCs w:val="21"/>
                <w:lang w:eastAsia="zh-CN"/>
              </w:rPr>
              <w:t>量具</w:t>
            </w:r>
            <w:r>
              <w:rPr>
                <w:rFonts w:hint="eastAsia" w:ascii="宋体" w:hAnsi="宋体" w:cs="宋体"/>
                <w:szCs w:val="21"/>
              </w:rPr>
              <w:t>的检定或校准证书</w:t>
            </w:r>
            <w:r>
              <w:rPr>
                <w:rFonts w:hint="eastAsia" w:ascii="宋体" w:hAnsi="宋体" w:cs="宋体"/>
                <w:szCs w:val="21"/>
                <w:lang w:eastAsia="zh-CN"/>
              </w:rPr>
              <w:t>，不能提供效期内的检验校准证书。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hint="default" w:ascii="宋体" w:hAnsi="宋体" w:eastAsia="宋体"/>
                <w:color w:val="FF0000"/>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pStyle w:val="2"/>
              <w:rPr>
                <w:rFonts w:hint="eastAsia" w:eastAsia="宋体"/>
                <w:lang w:val="en-US" w:eastAsia="zh-CN"/>
              </w:rPr>
            </w:pPr>
            <w:r>
              <w:rPr>
                <w:rFonts w:hint="eastAsia" w:ascii="宋体" w:hAnsi="宋体"/>
                <w:b/>
                <w:bCs/>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销售过程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制定并实施了服务质量评价规定，规定了公司各管理层次和品质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服务质量实施检查与验收的管理要求。内容基本具备全面性、系统性及可操作性。质量检查与验收交付客户时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eastAsia" w:eastAsia="宋体"/>
                <w:b/>
                <w:color w:val="000000" w:themeColor="text1"/>
                <w:sz w:val="20"/>
                <w:szCs w:val="20"/>
                <w:lang w:eastAsia="zh-CN"/>
              </w:rPr>
            </w:pPr>
            <w:r>
              <w:rPr>
                <w:rFonts w:hint="eastAsia" w:cs="Times New Roman"/>
                <w:b/>
                <w:color w:val="000000" w:themeColor="text1"/>
                <w:sz w:val="20"/>
                <w:szCs w:val="2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w:t>
            </w:r>
            <w:r>
              <w:rPr>
                <w:rFonts w:hint="eastAsia" w:ascii="宋体" w:hAnsi="宋体" w:cs="宋体"/>
                <w:color w:val="000000" w:themeColor="text1"/>
                <w:szCs w:val="21"/>
                <w14:textFill>
                  <w14:solidFill>
                    <w14:schemeClr w14:val="tx1"/>
                  </w14:solidFill>
                </w14:textFill>
              </w:rPr>
              <w:t>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2020年11</w:t>
            </w:r>
            <w:r>
              <w:rPr>
                <w:rFonts w:hint="eastAsia" w:ascii="宋体" w:hAnsi="宋体" w:cs="宋体"/>
                <w:color w:val="000000" w:themeColor="text1"/>
                <w:szCs w:val="21"/>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14:textFill>
                  <w14:solidFill>
                    <w14:schemeClr w14:val="tx1"/>
                  </w14:solidFill>
                </w14:textFill>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themeColor="text1"/>
                <w:szCs w:val="21"/>
                <w14:textFill>
                  <w14:solidFill>
                    <w14:schemeClr w14:val="tx1"/>
                  </w14:solidFill>
                </w14:textFill>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月实施，满意度评价</w:t>
            </w:r>
            <w:r>
              <w:rPr>
                <w:rFonts w:hint="eastAsia" w:ascii="宋体" w:hAnsi="宋体" w:cs="宋体"/>
                <w:color w:val="000000" w:themeColor="text1"/>
                <w:szCs w:val="21"/>
                <w:lang w:val="en-US" w:eastAsia="zh-CN"/>
                <w14:textFill>
                  <w14:solidFill>
                    <w14:schemeClr w14:val="tx1"/>
                  </w14:solidFill>
                </w14:textFill>
              </w:rPr>
              <w:t>96.5</w:t>
            </w:r>
            <w:r>
              <w:rPr>
                <w:rFonts w:hint="eastAsia" w:ascii="宋体" w:hAnsi="宋体" w:cs="宋体"/>
                <w:color w:val="000000" w:themeColor="text1"/>
                <w:szCs w:val="21"/>
                <w:lang w:val="en-US" w:eastAsia="zh-CN"/>
              </w:rPr>
              <w:t>分</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highlight w:val="none"/>
                <w:lang w:eastAsia="zh-CN"/>
              </w:rPr>
              <w:t>2020年</w:t>
            </w:r>
            <w:r>
              <w:rPr>
                <w:rFonts w:hint="eastAsia"/>
                <w:sz w:val="21"/>
                <w:szCs w:val="21"/>
                <w:highlight w:val="none"/>
                <w:lang w:val="en-US" w:eastAsia="zh-CN"/>
              </w:rPr>
              <w:t>10</w:t>
            </w:r>
            <w:r>
              <w:rPr>
                <w:rFonts w:hint="eastAsia"/>
                <w:sz w:val="21"/>
                <w:szCs w:val="21"/>
                <w:highlight w:val="none"/>
                <w:lang w:eastAsia="zh-CN"/>
              </w:rPr>
              <w:t>月</w:t>
            </w:r>
            <w:r>
              <w:rPr>
                <w:rFonts w:hint="eastAsia"/>
                <w:sz w:val="21"/>
                <w:szCs w:val="21"/>
                <w:highlight w:val="none"/>
                <w:lang w:val="en-US" w:eastAsia="zh-CN"/>
              </w:rPr>
              <w:t>21</w:t>
            </w:r>
            <w:r>
              <w:rPr>
                <w:rFonts w:hint="eastAsia"/>
                <w:sz w:val="21"/>
                <w:szCs w:val="21"/>
                <w:highlight w:val="none"/>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highlight w:val="none"/>
                <w:lang w:eastAsia="zh-CN"/>
              </w:rPr>
              <w:t>涉及</w:t>
            </w:r>
            <w:r>
              <w:rPr>
                <w:rFonts w:hint="eastAsia" w:ascii="Times New Roman" w:hAnsi="Times New Roman" w:eastAsia="宋体" w:cs="Times New Roman"/>
                <w:sz w:val="21"/>
                <w:szCs w:val="21"/>
                <w:highlight w:val="none"/>
                <w:lang w:val="en-US" w:eastAsia="zh-CN"/>
              </w:rPr>
              <w:t>销售部</w:t>
            </w:r>
            <w:r>
              <w:rPr>
                <w:rFonts w:hint="eastAsia"/>
                <w:sz w:val="21"/>
                <w:szCs w:val="21"/>
                <w:highlight w:val="none"/>
                <w:lang w:val="en-US" w:eastAsia="zh-CN"/>
              </w:rPr>
              <w:t>8.2</w:t>
            </w:r>
            <w:r>
              <w:rPr>
                <w:rFonts w:hint="eastAsia"/>
                <w:sz w:val="21"/>
                <w:szCs w:val="21"/>
                <w:highlight w:val="none"/>
                <w:lang w:eastAsia="zh-CN"/>
              </w:rPr>
              <w:t>条款不符合事实描述“</w:t>
            </w:r>
            <w:r>
              <w:rPr>
                <w:rFonts w:hint="eastAsia"/>
              </w:rPr>
              <w:t>现场检查</w:t>
            </w:r>
            <w:r>
              <w:rPr>
                <w:rFonts w:hint="eastAsia"/>
                <w:lang w:val="en-US" w:eastAsia="zh-CN"/>
              </w:rPr>
              <w:t>发现有一份销售合同未提供评审记录</w:t>
            </w:r>
            <w:r>
              <w:rPr>
                <w:rFonts w:hint="eastAsia"/>
                <w:sz w:val="21"/>
                <w:szCs w:val="21"/>
                <w:highlight w:val="none"/>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7</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一阶段开具的不符合，二阶段审核前未整改完毕。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14:textFill>
            <w14:solidFill>
              <w14:schemeClr w14:val="tx1"/>
            </w14:solidFill>
          </w14:textFill>
        </w:rPr>
      </w:pPr>
      <w:r>
        <w:rPr>
          <w:rFonts w:hint="eastAsia"/>
          <w:b/>
          <w:color w:val="000000" w:themeColor="text1"/>
          <w:sz w:val="26"/>
          <w:szCs w:val="26"/>
        </w:rPr>
        <w:t>七、本次审核不符</w:t>
      </w:r>
      <w:bookmarkStart w:id="22" w:name="_GoBack"/>
      <w:r>
        <w:rPr>
          <w:rFonts w:hint="eastAsia"/>
          <w:b/>
          <w:color w:val="000000" w:themeColor="text1"/>
          <w:sz w:val="26"/>
          <w:szCs w:val="26"/>
          <w14:textFill>
            <w14:solidFill>
              <w14:schemeClr w14:val="tx1"/>
            </w14:solidFill>
          </w14:textFill>
        </w:rPr>
        <w:t>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本次审核共开具不符合项报告</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项，观察项项分布在</w:t>
      </w:r>
      <w:r>
        <w:rPr>
          <w:rFonts w:hint="eastAsia"/>
          <w:b/>
          <w:color w:val="000000" w:themeColor="text1"/>
          <w:lang w:val="en-US" w:eastAsia="zh-CN"/>
          <w14:textFill>
            <w14:solidFill>
              <w14:schemeClr w14:val="tx1"/>
            </w14:solidFill>
          </w14:textFill>
        </w:rPr>
        <w:t>销售部</w:t>
      </w:r>
      <w:r>
        <w:rPr>
          <w:rFonts w:hint="eastAsia"/>
          <w:b/>
          <w:color w:val="000000" w:themeColor="text1"/>
          <w14:textFill>
            <w14:solidFill>
              <w14:schemeClr w14:val="tx1"/>
            </w14:solidFill>
          </w14:textFill>
        </w:rPr>
        <w:t>部门</w:t>
      </w:r>
      <w:r>
        <w:rPr>
          <w:rFonts w:hint="eastAsia"/>
          <w:b/>
          <w:color w:val="000000" w:themeColor="text1"/>
          <w:lang w:val="en-US" w:eastAsia="zh-CN"/>
          <w14:textFill>
            <w14:solidFill>
              <w14:schemeClr w14:val="tx1"/>
            </w14:solidFill>
          </w14:textFill>
        </w:rPr>
        <w:t>7.1.5</w:t>
      </w:r>
      <w:r>
        <w:rPr>
          <w:rFonts w:hint="eastAsia"/>
          <w:b/>
          <w:color w:val="000000" w:themeColor="text1"/>
          <w14:textFill>
            <w14:solidFill>
              <w14:schemeClr w14:val="tx1"/>
            </w14:solidFill>
          </w14:textFill>
        </w:rPr>
        <w:t>条款，分布见附件。（Q/J/E/S分开填写）</w:t>
      </w:r>
    </w:p>
    <w:bookmarkEnd w:id="22"/>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紧固件（锁销类）、检测仪器设备、汽车行业工位器具的销售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20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b/>
          <w:sz w:val="20"/>
        </w:rPr>
        <w:t>2020年12月16日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224BA3"/>
    <w:rsid w:val="0FD307DD"/>
    <w:rsid w:val="22B13C69"/>
    <w:rsid w:val="59B96059"/>
    <w:rsid w:val="66A5321C"/>
    <w:rsid w:val="702B66EB"/>
    <w:rsid w:val="78326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2020-12-16T07:13:00Z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