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重庆东仁科技股份有限公司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34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2020-12-11T13:36:52Z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