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340"/>
        <w:gridCol w:w="1190"/>
        <w:gridCol w:w="730"/>
        <w:gridCol w:w="1941"/>
        <w:gridCol w:w="637"/>
        <w:gridCol w:w="25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201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bookmarkStart w:id="5" w:name="_GoBack"/>
            <w:bookmarkEnd w:id="5"/>
            <w:r>
              <w:rPr>
                <w:b/>
                <w:sz w:val="24"/>
                <w:szCs w:val="24"/>
              </w:rPr>
              <w:t>夹江农副供销有限公司</w:t>
            </w:r>
            <w:bookmarkEnd w:id="3"/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86" w:type="dxa"/>
            <w:vAlign w:val="top"/>
          </w:tcPr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Q：29.07.01;29.07.09;31.04.01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E：29.07.01;29.07.09;31.04.01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O：29.07.01;29.07.09;31.04.01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Q:29.07.01,29.07.09,31.04.01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E:29.07.01,29.07.09,31.04.01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O:29.07.01,29.07.09,31.04.01</w:t>
            </w: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25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1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7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3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/>
                <w:sz w:val="21"/>
                <w:szCs w:val="21"/>
              </w:rPr>
              <w:t>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客户订单--</w:t>
            </w:r>
            <w:r>
              <w:rPr>
                <w:rFonts w:hint="eastAsia"/>
                <w:sz w:val="21"/>
                <w:szCs w:val="21"/>
              </w:rPr>
              <w:t>采购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/>
                <w:sz w:val="21"/>
                <w:szCs w:val="21"/>
              </w:rPr>
              <w:t>验收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/>
                <w:sz w:val="21"/>
                <w:szCs w:val="21"/>
              </w:rPr>
              <w:t>配送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/>
                <w:sz w:val="21"/>
                <w:szCs w:val="21"/>
              </w:rPr>
              <w:t>顾客签收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</w:t>
            </w:r>
            <w:r>
              <w:rPr>
                <w:rFonts w:hint="eastAsia"/>
                <w:sz w:val="21"/>
                <w:szCs w:val="21"/>
              </w:rPr>
              <w:t>售后服务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需确认过程：销售过程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，也是关键过程。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销售过程采取销售服务规范控制，针对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采购、贮存、销售过程中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产生的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商品不合格，交货不准时等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风险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通过管理方案和预案进行控制。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潜在火灾、固废排放</w:t>
            </w:r>
            <w:r>
              <w:rPr>
                <w:rFonts w:hint="eastAsia"/>
                <w:sz w:val="20"/>
                <w:lang w:eastAsia="zh-CN"/>
              </w:rPr>
              <w:t>、噪声排放</w:t>
            </w:r>
            <w:r>
              <w:rPr>
                <w:rFonts w:hint="eastAsia"/>
                <w:sz w:val="20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火灾，触电</w:t>
            </w:r>
            <w:r>
              <w:rPr>
                <w:rFonts w:hint="eastAsia"/>
                <w:sz w:val="20"/>
                <w:lang w:eastAsia="zh-CN"/>
              </w:rPr>
              <w:t>、交通事故</w:t>
            </w:r>
            <w:r>
              <w:rPr>
                <w:rFonts w:hint="eastAsia"/>
                <w:sz w:val="20"/>
              </w:rPr>
              <w:t>采取制定管理方案控制，火灾、触电事故采取应急预案并演练方式进行控制。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中华人民共和国劳动合同法、中华人民共和国产品质量法、中华人民共和国计量法、中华人民共和国消费者权益保护法、欺诈消费者行为处罚办法食品安全国家标准 、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食品安全国家标准 食品中农药最大残留限量-GB 2763-2016；鲜(冻)畜肉卫生标准-GB 2707-2016；食品安全国家标准 鲜、冻动物性水产品-GB 2733-2015；水产品冷链物流服务规范-GB/T 31080-2014；水果和蔬菜 气调贮藏技术规范-GB/T 23244-2009；初级生鲜食品配送良好操作规范-SB/T 10428-2007；瓜类蔬菜流通规范-SB/T 11029-2013；大米-GB 1354-2018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大米</w:t>
            </w:r>
            <w:r>
              <w:rPr>
                <w:rFonts w:hint="eastAsia" w:ascii="宋体" w:hAnsi="宋体"/>
                <w:sz w:val="21"/>
                <w:szCs w:val="21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不完善粒含量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气味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色泽</w:t>
            </w:r>
            <w:r>
              <w:rPr>
                <w:rFonts w:hint="eastAsia" w:ascii="宋体" w:hAnsi="宋体"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水分含量，碎米，杂质，有机砷等；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食用油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酸价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过氧化值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，水份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及挥物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不溶性杂质等；</w:t>
            </w:r>
          </w:p>
          <w:p>
            <w:pPr>
              <w:pStyle w:val="2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eastAsia="zh-CN"/>
              </w:rPr>
              <w:t>蔬菜指标：感官（性状、水分等）、农药残留量等。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both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1193165</wp:posOffset>
            </wp:positionH>
            <wp:positionV relativeFrom="paragraph">
              <wp:posOffset>121920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128905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2020.12.13</w:t>
      </w:r>
      <w:r>
        <w:rPr>
          <w:rFonts w:hint="eastAsia" w:ascii="宋体"/>
          <w:b/>
          <w:sz w:val="24"/>
          <w:szCs w:val="24"/>
        </w:rPr>
        <w:t xml:space="preserve">  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2020.12.13</w:t>
      </w:r>
      <w:r>
        <w:rPr>
          <w:rFonts w:hint="eastAsia" w:ascii="宋体"/>
          <w:b/>
          <w:sz w:val="24"/>
          <w:szCs w:val="24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C61D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2020-12-12T02:20:51Z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