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0335-2020-QEO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西安东灿建设工程有限公司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Q:29.08.03,29.11.03</w:t>
            </w:r>
          </w:p>
          <w:p>
            <w:pPr>
              <w:spacing w:line="240" w:lineRule="exact"/>
              <w:jc w:val="center"/>
              <w:rPr>
                <w:b/>
                <w:color w:val="000000" w:themeColor="text1"/>
                <w:sz w:val="20"/>
                <w:szCs w:val="20"/>
              </w:rPr>
            </w:pPr>
            <w:r>
              <w:rPr>
                <w:b/>
                <w:color w:val="000000" w:themeColor="text1"/>
                <w:sz w:val="20"/>
                <w:szCs w:val="20"/>
              </w:rPr>
              <w:t>E:29.08.03,29.11.03</w:t>
            </w:r>
          </w:p>
          <w:p>
            <w:pPr>
              <w:spacing w:line="240" w:lineRule="exact"/>
              <w:jc w:val="center"/>
              <w:rPr>
                <w:b/>
                <w:color w:val="000000" w:themeColor="text1"/>
                <w:sz w:val="20"/>
                <w:szCs w:val="20"/>
              </w:rPr>
            </w:pPr>
            <w:r>
              <w:rPr>
                <w:b/>
                <w:color w:val="000000" w:themeColor="text1"/>
                <w:sz w:val="20"/>
                <w:szCs w:val="20"/>
              </w:rPr>
              <w:t>O:29.08.03,29.11.03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张心</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Q:29.08.03,29.11.03</w:t>
            </w:r>
          </w:p>
          <w:p>
            <w:pPr>
              <w:spacing w:line="240" w:lineRule="exact"/>
              <w:jc w:val="center"/>
              <w:rPr>
                <w:b/>
                <w:color w:val="FF0000"/>
                <w:sz w:val="20"/>
                <w:szCs w:val="20"/>
              </w:rPr>
            </w:pPr>
            <w:r>
              <w:rPr>
                <w:b/>
                <w:color w:val="FF0000"/>
                <w:sz w:val="20"/>
                <w:szCs w:val="20"/>
              </w:rPr>
              <w:t>E:29.08.03,29.11.03</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O:29.08.03,29.11.03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冉景洲</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女</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西安东灿建设工程有限公司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陕西省西安市沣东新城征和四路2168号自贸产业园4号楼2层4-2-4662室</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陕西省西安市沣东新城征和四路2168号自贸产业园4号楼2层4-2-4662室</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马学洋</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18231875050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袁海峰</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hint="eastAsia" w:ascii="宋体" w:hAnsi="宋体"/>
                <w:b/>
                <w:color w:val="000000" w:themeColor="text1"/>
                <w:spacing w:val="-20"/>
                <w:sz w:val="20"/>
                <w:szCs w:val="20"/>
              </w:rPr>
              <w:t>卫平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洪建明</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Q：建材销售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E：建材销售所涉及的相关环境管理活动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O：建材销售所涉及的相关职业健康安全管理活动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Q：29.08.03;29.11.03</w:t>
            </w:r>
          </w:p>
          <w:p>
            <w:pPr>
              <w:spacing w:line="320" w:lineRule="exact"/>
              <w:rPr>
                <w:rFonts w:ascii="宋体" w:hAnsi="宋体"/>
                <w:b/>
                <w:color w:val="000000" w:themeColor="text1"/>
                <w:sz w:val="20"/>
                <w:szCs w:val="20"/>
              </w:rPr>
            </w:pPr>
            <w:r>
              <w:rPr>
                <w:rFonts w:ascii="宋体" w:hAnsi="宋体"/>
                <w:b/>
                <w:color w:val="000000" w:themeColor="text1"/>
                <w:sz w:val="20"/>
                <w:szCs w:val="20"/>
              </w:rPr>
              <w:t>E：29.08.03;29.11.03</w:t>
            </w:r>
          </w:p>
          <w:p>
            <w:pPr>
              <w:spacing w:line="320" w:lineRule="exact"/>
              <w:rPr>
                <w:rFonts w:ascii="宋体" w:hAnsi="宋体"/>
                <w:b/>
                <w:color w:val="000000" w:themeColor="text1"/>
                <w:sz w:val="20"/>
                <w:szCs w:val="20"/>
              </w:rPr>
            </w:pPr>
            <w:r>
              <w:rPr>
                <w:rFonts w:ascii="宋体" w:hAnsi="宋体"/>
                <w:b/>
                <w:color w:val="000000" w:themeColor="text1"/>
                <w:sz w:val="20"/>
                <w:szCs w:val="20"/>
              </w:rPr>
              <w:t>O：29.08.03;29.11.03</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2020-03-01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行政部（含财务）</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不合格品控制；纠正和预防措施控制；策划管理；过程监控管理；合同管理；客户管理；采购管理；供方管理；服务过程管理；设备设施管理；监视和测量设备管理；产品验收管理；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left"/>
              <w:rPr>
                <w:rFonts w:ascii="宋体" w:hAnsi="宋体"/>
                <w:b/>
                <w:color w:val="000000" w:themeColor="text1"/>
                <w:sz w:val="20"/>
                <w:szCs w:val="20"/>
              </w:rPr>
            </w:pPr>
          </w:p>
        </w:tc>
        <w:tc>
          <w:tcPr>
            <w:tcW w:w="3555"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建材、照明器具销售</w:t>
            </w:r>
          </w:p>
        </w:tc>
        <w:tc>
          <w:tcPr>
            <w:tcW w:w="2519" w:type="dxa"/>
          </w:tcPr>
          <w:p>
            <w:pPr>
              <w:rPr>
                <w:b/>
                <w:color w:val="000000" w:themeColor="text1"/>
                <w:sz w:val="20"/>
                <w:szCs w:val="20"/>
              </w:rPr>
            </w:pPr>
            <w:r>
              <w:rPr>
                <w:rFonts w:hint="eastAsia"/>
                <w:b/>
                <w:color w:val="000000" w:themeColor="text1"/>
                <w:sz w:val="20"/>
                <w:szCs w:val="20"/>
              </w:rPr>
              <w:t>服务</w:t>
            </w:r>
          </w:p>
        </w:tc>
        <w:tc>
          <w:tcPr>
            <w:tcW w:w="1843" w:type="dxa"/>
          </w:tcPr>
          <w:p>
            <w:pPr>
              <w:rPr>
                <w:b/>
                <w:color w:val="000000" w:themeColor="text1"/>
                <w:sz w:val="20"/>
                <w:szCs w:val="20"/>
              </w:rPr>
            </w:pPr>
          </w:p>
        </w:tc>
        <w:tc>
          <w:tcPr>
            <w:tcW w:w="3543" w:type="dxa"/>
          </w:tcPr>
          <w:p>
            <w:pPr>
              <w:spacing w:line="400" w:lineRule="exact"/>
              <w:rPr>
                <w:b/>
                <w:color w:val="FF0000"/>
                <w:sz w:val="20"/>
                <w:szCs w:val="20"/>
              </w:rPr>
            </w:pPr>
            <w:r>
              <w:rPr>
                <w:rFonts w:hint="eastAsia"/>
              </w:rPr>
              <w:t>钢筋混凝土用钢 第一部分：热轧光圆钢筋G</w:t>
            </w:r>
            <w:r>
              <w:t>B/T1499.1-2008</w:t>
            </w:r>
            <w:r>
              <w:rPr>
                <w:rFonts w:hint="eastAsia"/>
              </w:rPr>
              <w:t>；砌筑水泥G</w:t>
            </w:r>
            <w:r>
              <w:t>B/T3183-2003</w:t>
            </w:r>
            <w:r>
              <w:rPr>
                <w:rFonts w:hint="eastAsia"/>
              </w:rPr>
              <w:t>；防滑陶瓷砖G</w:t>
            </w:r>
            <w:r>
              <w:t>B/T35153-2017</w:t>
            </w:r>
            <w:r>
              <w:rPr>
                <w:rFonts w:hint="eastAsia"/>
              </w:rPr>
              <w:t>；细木工板G</w:t>
            </w:r>
            <w:r>
              <w:t>B/T5849-1999</w:t>
            </w:r>
            <w:r>
              <w:rPr>
                <w:rFonts w:hint="eastAsia"/>
              </w:rPr>
              <w:t>；冷轧带肋钢筋G</w:t>
            </w:r>
            <w:r>
              <w:t>B13788-2000</w:t>
            </w:r>
            <w:r>
              <w:rPr>
                <w:rFonts w:hint="eastAsia"/>
              </w:rPr>
              <w:t>；烧结普通砖G</w:t>
            </w:r>
            <w:r>
              <w:t>B51012003</w:t>
            </w:r>
            <w:r>
              <w:rPr>
                <w:rFonts w:hint="eastAsia"/>
              </w:rPr>
              <w:t>；水泥GB</w:t>
            </w:r>
            <w:r>
              <w:t>175-2007</w:t>
            </w:r>
            <w:r>
              <w:rPr>
                <w:rFonts w:hint="eastAsia" w:ascii="宋体" w:hAnsi="宋体" w:cs="宋体"/>
                <w:szCs w:val="21"/>
              </w:rPr>
              <w:t>、</w:t>
            </w:r>
            <w:r>
              <w:rPr>
                <w:rFonts w:hint="eastAsia"/>
              </w:rPr>
              <w:t>道路与街路照片灯具性能要求G</w:t>
            </w:r>
            <w:r>
              <w:t>B/T24827-2009</w:t>
            </w:r>
            <w:r>
              <w:rPr>
                <w:rFonts w:hint="eastAsia"/>
              </w:rPr>
              <w:t>；应急照明灯具安全要求G</w:t>
            </w:r>
            <w:r>
              <w:t>B7000.3-1996</w:t>
            </w:r>
            <w:r>
              <w:rPr>
                <w:rFonts w:hint="eastAsia"/>
              </w:rPr>
              <w:t>；道路与街路照明灯具的安全要求GB7005.5-1996等标准、消费者权益保护法、质量法、计量法、合同协议和销售服务规范等。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rFonts w:hint="eastAsia" w:ascii="Times New Roman" w:hAnsi="Times New Roman" w:eastAsia="宋体" w:cs="Times New Roman"/>
          <w:b/>
          <w:color w:val="FF0000"/>
          <w:spacing w:val="-10"/>
          <w:szCs w:val="21"/>
          <w:lang w:eastAsia="zh-CN"/>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7</w:t>
      </w:r>
      <w:r>
        <w:rPr>
          <w:rFonts w:hint="eastAsia"/>
          <w:b/>
          <w:color w:val="000000" w:themeColor="text1"/>
          <w:spacing w:val="-10"/>
          <w:szCs w:val="21"/>
        </w:rPr>
        <w:t>月</w:t>
      </w:r>
      <w:r>
        <w:rPr>
          <w:rFonts w:hint="eastAsia"/>
          <w:b/>
          <w:color w:val="000000" w:themeColor="text1"/>
          <w:spacing w:val="-10"/>
          <w:szCs w:val="21"/>
          <w:u w:val="single"/>
        </w:rPr>
        <w:t>13</w:t>
      </w:r>
      <w:r>
        <w:rPr>
          <w:rFonts w:hint="eastAsia"/>
          <w:b/>
          <w:color w:val="000000" w:themeColor="text1"/>
          <w:spacing w:val="-10"/>
          <w:szCs w:val="21"/>
        </w:rPr>
        <w:t>日。</w:t>
      </w:r>
      <w:r>
        <w:rPr>
          <w:rFonts w:hint="eastAsia"/>
          <w:b/>
          <w:color w:val="FF0000"/>
          <w:spacing w:val="-10"/>
          <w:szCs w:val="21"/>
          <w:lang w:eastAsia="zh-CN"/>
        </w:rPr>
        <w:t>现场补充审核复盖时</w:t>
      </w:r>
      <w:r>
        <w:rPr>
          <w:rFonts w:hint="eastAsia" w:ascii="Times New Roman" w:hAnsi="Times New Roman" w:eastAsia="宋体" w:cs="Times New Roman"/>
          <w:b/>
          <w:color w:val="FF0000"/>
          <w:spacing w:val="-10"/>
          <w:szCs w:val="21"/>
          <w:lang w:eastAsia="zh-CN"/>
        </w:rPr>
        <w:t>间20</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 xml:space="preserve"> 年 </w:t>
      </w:r>
      <w:r>
        <w:rPr>
          <w:rFonts w:hint="eastAsia" w:ascii="Times New Roman" w:hAnsi="Times New Roman" w:eastAsia="宋体" w:cs="Times New Roman"/>
          <w:b/>
          <w:color w:val="FF0000"/>
          <w:spacing w:val="-10"/>
          <w:szCs w:val="21"/>
          <w:lang w:val="en-US" w:eastAsia="zh-CN"/>
        </w:rPr>
        <w:t>7</w:t>
      </w:r>
      <w:r>
        <w:rPr>
          <w:rFonts w:hint="eastAsia" w:ascii="Times New Roman" w:hAnsi="Times New Roman" w:eastAsia="宋体" w:cs="Times New Roman"/>
          <w:b/>
          <w:color w:val="FF0000"/>
          <w:spacing w:val="-10"/>
          <w:szCs w:val="21"/>
          <w:lang w:eastAsia="zh-CN"/>
        </w:rPr>
        <w:t xml:space="preserve"> 月</w:t>
      </w:r>
      <w:r>
        <w:rPr>
          <w:rFonts w:hint="eastAsia" w:ascii="Times New Roman" w:hAnsi="Times New Roman" w:eastAsia="宋体" w:cs="Times New Roman"/>
          <w:b/>
          <w:color w:val="FF0000"/>
          <w:spacing w:val="-10"/>
          <w:szCs w:val="21"/>
          <w:lang w:val="en-US" w:eastAsia="zh-CN"/>
        </w:rPr>
        <w:t>13</w:t>
      </w:r>
      <w:r>
        <w:rPr>
          <w:rFonts w:hint="eastAsia" w:ascii="Times New Roman" w:hAnsi="Times New Roman" w:eastAsia="宋体" w:cs="Times New Roman"/>
          <w:b/>
          <w:color w:val="FF0000"/>
          <w:spacing w:val="-10"/>
          <w:szCs w:val="21"/>
          <w:lang w:eastAsia="zh-CN"/>
        </w:rPr>
        <w:t>日</w:t>
      </w:r>
      <w:r>
        <w:rPr>
          <w:rFonts w:hint="eastAsia" w:ascii="Times New Roman" w:hAnsi="Times New Roman" w:eastAsia="宋体" w:cs="Times New Roman"/>
          <w:b/>
          <w:color w:val="FF0000"/>
          <w:spacing w:val="-10"/>
          <w:szCs w:val="21"/>
          <w:lang w:val="en-US" w:eastAsia="zh-CN"/>
        </w:rPr>
        <w:t>至2020年12月</w:t>
      </w:r>
      <w:r>
        <w:rPr>
          <w:rFonts w:hint="eastAsia"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val="en-US" w:eastAsia="zh-CN"/>
        </w:rPr>
        <w:t>日）</w:t>
      </w:r>
      <w:r>
        <w:rPr>
          <w:rFonts w:hint="eastAsia" w:ascii="Times New Roman" w:hAnsi="Times New Roman" w:eastAsia="宋体" w:cs="Times New Roman"/>
          <w:b/>
          <w:color w:val="FF0000"/>
          <w:spacing w:val="-10"/>
          <w:szCs w:val="21"/>
          <w:lang w:eastAsia="zh-CN"/>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9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63"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055"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tabs>
                <w:tab w:val="left" w:pos="1080"/>
              </w:tabs>
              <w:spacing w:line="400" w:lineRule="exact"/>
              <w:rPr>
                <w:rFonts w:ascii="宋体" w:hAnsi="宋体"/>
                <w:szCs w:val="21"/>
              </w:rPr>
            </w:pPr>
            <w:r>
              <w:rPr>
                <w:rFonts w:hint="eastAsia" w:ascii="宋体" w:hAnsi="宋体"/>
                <w:color w:val="000000" w:themeColor="text1"/>
              </w:rPr>
              <w:t>组织对内外部因素、相关方需求和期望进行了充分的识别，策划和实施有效。组织确定了体系的边界，基本适用。质量管理体系</w:t>
            </w:r>
            <w:r>
              <w:rPr>
                <w:rFonts w:hint="eastAsia" w:ascii="宋体" w:hAnsi="宋体"/>
                <w:szCs w:val="21"/>
              </w:rPr>
              <w:t>Q8.3条款不适用，</w:t>
            </w:r>
            <w:r>
              <w:rPr>
                <w:rFonts w:hint="eastAsia" w:ascii="宋体" w:hAnsi="宋体" w:cs="宋体"/>
                <w:color w:val="000000"/>
                <w:szCs w:val="21"/>
              </w:rPr>
              <w:t>公司从事开票式销售，是由供应商直接发货到乙方，货物验收是有乙方自行验收，不涉及设计与开发。删减8.3条款不影响公司提供满足顾客和适用法律法规要求的产品的能力和责任的要求</w:t>
            </w:r>
            <w:r>
              <w:rPr>
                <w:rFonts w:hint="eastAsia" w:ascii="宋体" w:hAnsi="宋体"/>
                <w:szCs w:val="21"/>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863"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055"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863"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055" w:type="dxa"/>
          </w:tcPr>
          <w:p>
            <w:pPr>
              <w:spacing w:line="280" w:lineRule="exact"/>
            </w:pPr>
            <w:r>
              <w:t>3.</w:t>
            </w:r>
            <w:r>
              <w:rPr>
                <w:rFonts w:hint="eastAsia"/>
              </w:rPr>
              <w:t>■质量/■环境/■职业健康安全方针（组织方针的适宜性/持续适宜性、方针的传达及职工的理解等）</w:t>
            </w:r>
          </w:p>
          <w:p>
            <w:pPr>
              <w:spacing w:line="400" w:lineRule="exact"/>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szCs w:val="21"/>
              </w:rPr>
            </w:pPr>
            <w:r>
              <w:rPr>
                <w:rFonts w:hint="eastAsia"/>
                <w:szCs w:val="21"/>
              </w:rPr>
              <w:t>质量方针：“ 精益求精 创“东灿”新优势”。</w:t>
            </w:r>
          </w:p>
          <w:p>
            <w:pPr>
              <w:spacing w:line="400" w:lineRule="exact"/>
              <w:rPr>
                <w:szCs w:val="21"/>
              </w:rPr>
            </w:pPr>
            <w:r>
              <w:rPr>
                <w:rFonts w:hint="eastAsia"/>
                <w:szCs w:val="21"/>
              </w:rPr>
              <w:t>环境方针： “坚持走可持续发展之路，倡导绿色环保思想，遵守法律法规，从产品销售到服务的全过程中，实行污染预防和持续改进”。</w:t>
            </w:r>
          </w:p>
          <w:p>
            <w:pPr>
              <w:spacing w:line="400" w:lineRule="exact"/>
            </w:pPr>
            <w:r>
              <w:rPr>
                <w:rFonts w:hint="eastAsia"/>
                <w:szCs w:val="21"/>
              </w:rPr>
              <w:t>职业健康安全管理方针：  “保障健康、安全销售、以人为本、永续发展、遵守法规、持续改进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63"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055"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质量管理体系过程有：合同评审、采购、交付过程等。</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其中关键过程有：销售</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销售服务过程 </w:t>
            </w:r>
          </w:p>
          <w:p>
            <w:pPr>
              <w:tabs>
                <w:tab w:val="left" w:pos="1080"/>
              </w:tabs>
              <w:spacing w:line="400" w:lineRule="exact"/>
              <w:rPr>
                <w:rFonts w:ascii="宋体" w:hAnsi="宋体"/>
                <w:szCs w:val="21"/>
                <w:u w:val="single"/>
              </w:rPr>
            </w:pPr>
            <w:r>
              <w:rPr>
                <w:rFonts w:hint="eastAsia" w:ascii="宋体" w:hAnsi="宋体"/>
                <w:b/>
                <w:color w:val="000000" w:themeColor="text1"/>
                <w:sz w:val="20"/>
                <w:szCs w:val="20"/>
              </w:rPr>
              <w:t>不适用条款是</w:t>
            </w:r>
            <w:r>
              <w:rPr>
                <w:rFonts w:hint="eastAsia" w:ascii="宋体" w:hAnsi="宋体"/>
                <w:b/>
                <w:color w:val="000000" w:themeColor="text1"/>
                <w:sz w:val="20"/>
                <w:szCs w:val="20"/>
                <w:u w:val="single"/>
              </w:rPr>
              <w:t>8.3</w:t>
            </w:r>
            <w:r>
              <w:rPr>
                <w:rFonts w:hint="eastAsia" w:ascii="宋体" w:hAnsi="宋体"/>
                <w:b/>
                <w:color w:val="000000" w:themeColor="text1"/>
                <w:sz w:val="20"/>
                <w:szCs w:val="20"/>
              </w:rPr>
              <w:t xml:space="preserve"> ，不适用理由：</w:t>
            </w:r>
            <w:r>
              <w:rPr>
                <w:rFonts w:hint="eastAsia" w:ascii="宋体" w:hAnsi="宋体" w:cs="宋体"/>
                <w:color w:val="000000"/>
                <w:szCs w:val="21"/>
              </w:rPr>
              <w:t>公司从事开票式销售，是由供应商直接发货到乙方，货物验收是有乙方自行验收，不涉及设计与开发，因此8.3设计和开发条款不适用。</w:t>
            </w:r>
          </w:p>
          <w:p>
            <w:pPr>
              <w:tabs>
                <w:tab w:val="left" w:pos="540"/>
                <w:tab w:val="right" w:pos="8781"/>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排放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szCs w:val="21"/>
              </w:rPr>
              <w:t>火灾、触电）</w:t>
            </w:r>
            <w:r>
              <w:rPr>
                <w:rFonts w:hint="eastAsia" w:ascii="宋体" w:hAnsi="宋体"/>
                <w:color w:val="000000" w:themeColor="text1"/>
              </w:rPr>
              <w:t>，与之相关的过程有采购、验收、销售过程，针对重要危险源制定了管理方案。控制措施实施有效。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ascii="宋体" w:hAnsi="宋体" w:cs="宋体"/>
                <w:color w:val="000000"/>
                <w:kern w:val="0"/>
                <w:szCs w:val="21"/>
              </w:rPr>
            </w:pPr>
            <w:r>
              <w:rPr>
                <w:rFonts w:hint="eastAsia" w:ascii="宋体" w:hAnsi="宋体" w:cs="宋体"/>
                <w:color w:val="000000"/>
                <w:kern w:val="0"/>
                <w:szCs w:val="21"/>
              </w:rPr>
              <w:t>管理目标、指标的实现情况：（考核时间：2020年3月-2020年6月）</w:t>
            </w:r>
          </w:p>
          <w:p>
            <w:pPr>
              <w:snapToGrid w:val="0"/>
              <w:spacing w:line="420" w:lineRule="exact"/>
              <w:ind w:firstLine="420" w:firstLineChars="200"/>
              <w:rPr>
                <w:rFonts w:ascii="宋体" w:hAnsi="宋体"/>
                <w:color w:val="000000"/>
                <w:szCs w:val="21"/>
              </w:rPr>
            </w:pPr>
            <w:r>
              <w:rPr>
                <w:rFonts w:hint="eastAsia" w:ascii="宋体" w:hAnsi="宋体"/>
                <w:color w:val="000000"/>
                <w:szCs w:val="21"/>
              </w:rPr>
              <w:t>1）产品交付合格率100%；            实测100%</w:t>
            </w:r>
          </w:p>
          <w:p>
            <w:pPr>
              <w:snapToGrid w:val="0"/>
              <w:spacing w:line="420" w:lineRule="exact"/>
              <w:ind w:firstLine="420" w:firstLineChars="200"/>
              <w:rPr>
                <w:rFonts w:ascii="宋体" w:hAnsi="宋体"/>
                <w:color w:val="000000"/>
                <w:szCs w:val="21"/>
              </w:rPr>
            </w:pPr>
            <w:r>
              <w:rPr>
                <w:rFonts w:hint="eastAsia" w:ascii="宋体" w:hAnsi="宋体"/>
                <w:color w:val="000000"/>
                <w:szCs w:val="21"/>
              </w:rPr>
              <w:t>2）合同按时完成率100%；            实测100%</w:t>
            </w:r>
          </w:p>
          <w:p>
            <w:pPr>
              <w:snapToGrid w:val="0"/>
              <w:spacing w:line="420" w:lineRule="exact"/>
              <w:ind w:firstLine="420" w:firstLineChars="200"/>
              <w:rPr>
                <w:rFonts w:ascii="宋体" w:hAnsi="宋体"/>
                <w:bCs/>
                <w:color w:val="000000"/>
                <w:spacing w:val="10"/>
                <w:szCs w:val="21"/>
              </w:rPr>
            </w:pPr>
            <w:r>
              <w:rPr>
                <w:rFonts w:hint="eastAsia" w:ascii="宋体" w:hAnsi="宋体"/>
                <w:color w:val="000000"/>
                <w:szCs w:val="21"/>
              </w:rPr>
              <w:t>3）</w:t>
            </w:r>
            <w:r>
              <w:rPr>
                <w:rFonts w:hint="eastAsia" w:ascii="宋体" w:hAnsi="宋体"/>
                <w:bCs/>
                <w:color w:val="000000"/>
                <w:spacing w:val="10"/>
                <w:szCs w:val="21"/>
              </w:rPr>
              <w:t>顾客满意率≥90分；</w:t>
            </w:r>
            <w:r>
              <w:rPr>
                <w:rFonts w:hint="eastAsia" w:ascii="宋体" w:hAnsi="宋体"/>
                <w:color w:val="000000"/>
                <w:szCs w:val="21"/>
              </w:rPr>
              <w:t xml:space="preserve">            实测95分</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4）</w:t>
            </w:r>
            <w:r>
              <w:rPr>
                <w:rFonts w:hint="eastAsia" w:ascii="宋体" w:hAnsi="宋体"/>
                <w:color w:val="000000"/>
                <w:szCs w:val="21"/>
              </w:rPr>
              <w:t>办公废弃物分类收集处理率100%</w:t>
            </w:r>
            <w:r>
              <w:rPr>
                <w:rFonts w:hint="eastAsia" w:ascii="宋体" w:hAnsi="宋体" w:cs="宋体"/>
                <w:color w:val="000000"/>
                <w:szCs w:val="21"/>
              </w:rPr>
              <w:t>；  实测100%</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5）</w:t>
            </w:r>
            <w:r>
              <w:rPr>
                <w:rFonts w:hint="eastAsia" w:ascii="宋体" w:hAnsi="宋体"/>
                <w:color w:val="000000"/>
                <w:szCs w:val="21"/>
              </w:rPr>
              <w:t>重大安全事故和伤亡事故为0</w:t>
            </w:r>
            <w:r>
              <w:rPr>
                <w:rFonts w:hint="eastAsia" w:ascii="宋体" w:hAnsi="宋体" w:cs="宋体"/>
                <w:color w:val="000000"/>
                <w:szCs w:val="21"/>
              </w:rPr>
              <w:t>；      实测：0</w:t>
            </w:r>
          </w:p>
          <w:p>
            <w:pPr>
              <w:pStyle w:val="2"/>
              <w:ind w:firstLine="460" w:firstLineChars="200"/>
              <w:rPr>
                <w:rFonts w:ascii="宋体" w:hAnsi="宋体" w:cs="宋体"/>
                <w:szCs w:val="21"/>
              </w:rPr>
            </w:pPr>
            <w:r>
              <w:rPr>
                <w:rFonts w:hint="eastAsia" w:ascii="宋体" w:hAnsi="宋体" w:cs="宋体"/>
                <w:color w:val="000000"/>
                <w:szCs w:val="21"/>
              </w:rPr>
              <w:t>6）</w:t>
            </w:r>
            <w:r>
              <w:rPr>
                <w:rFonts w:hint="eastAsia" w:ascii="宋体" w:hAnsi="宋体"/>
                <w:color w:val="000000"/>
                <w:szCs w:val="21"/>
              </w:rPr>
              <w:t>火灾事故为0</w:t>
            </w:r>
            <w:r>
              <w:rPr>
                <w:rFonts w:hint="eastAsia" w:ascii="宋体" w:hAnsi="宋体" w:cs="宋体"/>
                <w:color w:val="000000"/>
                <w:szCs w:val="21"/>
              </w:rPr>
              <w:t>。               实测：0</w:t>
            </w:r>
          </w:p>
          <w:p>
            <w:p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3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863"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055"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建材、照明器具销售的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63" w:type="dxa"/>
            <w:vMerge w:val="continue"/>
            <w:textDirection w:val="tbRlV"/>
            <w:vAlign w:val="center"/>
          </w:tcPr>
          <w:p>
            <w:pPr>
              <w:spacing w:line="240" w:lineRule="exact"/>
              <w:ind w:left="113" w:right="113"/>
              <w:jc w:val="center"/>
              <w:rPr>
                <w:b/>
                <w:color w:val="000000" w:themeColor="text1"/>
                <w:szCs w:val="21"/>
              </w:rPr>
            </w:pPr>
          </w:p>
        </w:tc>
        <w:tc>
          <w:tcPr>
            <w:tcW w:w="9055"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rPr>
              <w:t>公司拥有办公面:370平方米</w:t>
            </w:r>
            <w:r>
              <w:rPr>
                <w:rFonts w:hint="eastAsia" w:ascii="宋体" w:hAnsi="宋体" w:cs="宋体"/>
                <w:szCs w:val="21"/>
              </w:rPr>
              <w:t>，</w:t>
            </w:r>
            <w:r>
              <w:rPr>
                <w:rFonts w:hint="eastAsia" w:ascii="宋体" w:hAnsi="宋体" w:cs="宋体"/>
                <w:color w:val="000000"/>
                <w:szCs w:val="21"/>
              </w:rPr>
              <w:t>公司从事开票式销售</w:t>
            </w:r>
            <w:r>
              <w:rPr>
                <w:rFonts w:hint="eastAsia"/>
                <w:bCs/>
              </w:rPr>
              <w:t>，物资采取直接运输到客户处，没有周转环节，暂无库房。</w:t>
            </w:r>
            <w:r>
              <w:rPr>
                <w:rFonts w:hint="eastAsia" w:ascii="宋体" w:hAnsi="宋体" w:cs="宋体"/>
                <w:szCs w:val="21"/>
              </w:rPr>
              <w:t>主要设备为电脑及办公设备等，可以满足</w:t>
            </w:r>
            <w:r>
              <w:rPr>
                <w:rFonts w:hint="eastAsia" w:ascii="宋体" w:hAnsi="宋体"/>
                <w:szCs w:val="21"/>
              </w:rPr>
              <w:t>建材、照明器具销售的</w:t>
            </w:r>
            <w:r>
              <w:rPr>
                <w:rFonts w:hint="eastAsia" w:ascii="宋体" w:hAnsi="宋体" w:cs="宋体"/>
                <w:szCs w:val="21"/>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63" w:type="dxa"/>
            <w:vMerge w:val="continue"/>
            <w:textDirection w:val="tbRlV"/>
            <w:vAlign w:val="center"/>
          </w:tcPr>
          <w:p>
            <w:pPr>
              <w:spacing w:line="240" w:lineRule="exact"/>
              <w:ind w:left="113" w:right="113"/>
              <w:jc w:val="center"/>
              <w:rPr>
                <w:b/>
                <w:color w:val="000000" w:themeColor="text1"/>
                <w:szCs w:val="21"/>
              </w:rPr>
            </w:pPr>
          </w:p>
        </w:tc>
        <w:tc>
          <w:tcPr>
            <w:tcW w:w="9055"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办公所场设备布置合理，通道畅通，照明设施齐全，均配备了消防设施等设施。办公室明亮，服务场所光线较充足。每月由行政部对工作环境进行定期检查。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63" w:type="dxa"/>
            <w:vMerge w:val="continue"/>
            <w:textDirection w:val="tbRlV"/>
            <w:vAlign w:val="center"/>
          </w:tcPr>
          <w:p>
            <w:pPr>
              <w:spacing w:line="240" w:lineRule="exact"/>
              <w:ind w:left="113" w:right="113"/>
              <w:jc w:val="center"/>
              <w:rPr>
                <w:b/>
                <w:color w:val="000000" w:themeColor="text1"/>
                <w:szCs w:val="21"/>
              </w:rPr>
            </w:pPr>
          </w:p>
        </w:tc>
        <w:tc>
          <w:tcPr>
            <w:tcW w:w="9055" w:type="dxa"/>
          </w:tcPr>
          <w:p>
            <w:pPr>
              <w:spacing w:line="240" w:lineRule="exact"/>
            </w:pPr>
            <w:r>
              <w:rPr>
                <w:rFonts w:hint="eastAsia"/>
              </w:rPr>
              <w:t>监视和测量资源</w:t>
            </w:r>
          </w:p>
          <w:p>
            <w:pPr>
              <w:spacing w:line="400" w:lineRule="exact"/>
            </w:pPr>
            <w:r>
              <w:rPr>
                <w:rFonts w:hint="eastAsia"/>
              </w:rPr>
              <w:t>暂未配置检测设备等，</w:t>
            </w:r>
            <w:r>
              <w:rPr>
                <w:rFonts w:hint="eastAsia"/>
                <w:szCs w:val="21"/>
              </w:rPr>
              <w:t>采取以供方出具的产品检测报告为验收依据，进行核验，最终产品质量由顾客确认</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63" w:type="dxa"/>
            <w:vMerge w:val="continue"/>
            <w:textDirection w:val="tbRlV"/>
            <w:vAlign w:val="center"/>
          </w:tcPr>
          <w:p>
            <w:pPr>
              <w:spacing w:line="240" w:lineRule="exact"/>
              <w:ind w:left="113" w:right="113"/>
              <w:jc w:val="center"/>
              <w:rPr>
                <w:b/>
                <w:color w:val="000000" w:themeColor="text1"/>
                <w:szCs w:val="21"/>
              </w:rPr>
            </w:pPr>
          </w:p>
        </w:tc>
        <w:tc>
          <w:tcPr>
            <w:tcW w:w="9055"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863" w:type="dxa"/>
            <w:vMerge w:val="continue"/>
            <w:textDirection w:val="tbRlV"/>
            <w:vAlign w:val="center"/>
          </w:tcPr>
          <w:p>
            <w:pPr>
              <w:spacing w:line="240" w:lineRule="exact"/>
              <w:ind w:left="113" w:right="113"/>
              <w:jc w:val="center"/>
              <w:rPr>
                <w:b/>
                <w:color w:val="000000" w:themeColor="text1"/>
                <w:szCs w:val="21"/>
              </w:rPr>
            </w:pPr>
          </w:p>
        </w:tc>
        <w:tc>
          <w:tcPr>
            <w:tcW w:w="9055"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63" w:type="dxa"/>
            <w:vMerge w:val="continue"/>
            <w:textDirection w:val="tbRlV"/>
            <w:vAlign w:val="center"/>
          </w:tcPr>
          <w:p>
            <w:pPr>
              <w:spacing w:line="240" w:lineRule="exact"/>
              <w:ind w:left="113" w:right="113"/>
              <w:jc w:val="center"/>
              <w:rPr>
                <w:b/>
                <w:color w:val="000000" w:themeColor="text1"/>
                <w:szCs w:val="21"/>
              </w:rPr>
            </w:pPr>
          </w:p>
        </w:tc>
        <w:tc>
          <w:tcPr>
            <w:tcW w:w="9055"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配电箱、灭火器等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863"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055"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销售产品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rPr>
              <w:t>固废排放、潜在火灾</w:t>
            </w:r>
            <w:r>
              <w:rPr>
                <w:rFonts w:hint="eastAsia" w:asciiTheme="minorEastAsia" w:hAnsiTheme="minorEastAsia" w:eastAsiaTheme="minorEastAsia"/>
                <w:bCs/>
                <w:iCs/>
              </w:rPr>
              <w:t>，需要应对的风险和机遇相关的过程为维保服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olor w:val="FF0000"/>
                <w:szCs w:val="21"/>
              </w:rPr>
              <w:t>火灾、触电、意外伤害</w:t>
            </w:r>
            <w:r>
              <w:rPr>
                <w:rFonts w:hint="eastAsia" w:ascii="宋体" w:hAnsi="宋体"/>
                <w:szCs w:val="21"/>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863" w:type="dxa"/>
            <w:vMerge w:val="continue"/>
            <w:vAlign w:val="center"/>
          </w:tcPr>
          <w:p>
            <w:pPr>
              <w:spacing w:line="240" w:lineRule="exact"/>
              <w:jc w:val="center"/>
              <w:rPr>
                <w:b/>
                <w:color w:val="000000" w:themeColor="text1"/>
                <w:szCs w:val="21"/>
              </w:rPr>
            </w:pPr>
          </w:p>
        </w:tc>
        <w:tc>
          <w:tcPr>
            <w:tcW w:w="9055"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863"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055"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2020年3月-2020年6月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863" w:type="dxa"/>
            <w:vMerge w:val="continue"/>
            <w:textDirection w:val="tbRlV"/>
            <w:vAlign w:val="center"/>
          </w:tcPr>
          <w:p>
            <w:pPr>
              <w:spacing w:line="240" w:lineRule="exact"/>
              <w:ind w:left="113" w:right="113"/>
              <w:jc w:val="center"/>
              <w:rPr>
                <w:b/>
                <w:color w:val="000000" w:themeColor="text1"/>
                <w:szCs w:val="21"/>
              </w:rPr>
            </w:pPr>
          </w:p>
        </w:tc>
        <w:tc>
          <w:tcPr>
            <w:tcW w:w="9055"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2020年5月实施，满意度评价96分，总体实现了顾客满意度的质量目标要求。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863" w:type="dxa"/>
            <w:vMerge w:val="continue"/>
            <w:textDirection w:val="tbRlV"/>
            <w:vAlign w:val="center"/>
          </w:tcPr>
          <w:p>
            <w:pPr>
              <w:spacing w:line="240" w:lineRule="exact"/>
              <w:ind w:left="201" w:right="113" w:hanging="201" w:hangingChars="100"/>
              <w:jc w:val="center"/>
              <w:rPr>
                <w:b/>
                <w:color w:val="000000" w:themeColor="text1"/>
                <w:sz w:val="20"/>
              </w:rPr>
            </w:pPr>
          </w:p>
        </w:tc>
        <w:tc>
          <w:tcPr>
            <w:tcW w:w="9055"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6月5日-6日，拟定了审核实施表，明确了内审范围，内审人员经培训合格上岗，能力满足要求，未出现审核本部门情况，内审不符合项1项，涉及销售部E/S8.2条款未能提供应急预案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863" w:type="dxa"/>
            <w:vMerge w:val="continue"/>
            <w:textDirection w:val="tbRlV"/>
            <w:vAlign w:val="center"/>
          </w:tcPr>
          <w:p>
            <w:pPr>
              <w:spacing w:line="240" w:lineRule="exact"/>
              <w:ind w:left="201" w:right="113" w:hanging="201" w:hangingChars="100"/>
              <w:jc w:val="center"/>
              <w:rPr>
                <w:b/>
                <w:color w:val="000000" w:themeColor="text1"/>
                <w:sz w:val="20"/>
              </w:rPr>
            </w:pPr>
          </w:p>
        </w:tc>
        <w:tc>
          <w:tcPr>
            <w:tcW w:w="9055"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2020年6月21日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863" w:type="dxa"/>
            <w:vMerge w:val="continue"/>
            <w:vAlign w:val="center"/>
          </w:tcPr>
          <w:p>
            <w:pPr>
              <w:spacing w:line="240" w:lineRule="exact"/>
              <w:jc w:val="center"/>
              <w:rPr>
                <w:b/>
                <w:color w:val="000000" w:themeColor="text1"/>
                <w:sz w:val="20"/>
              </w:rPr>
            </w:pPr>
          </w:p>
        </w:tc>
        <w:tc>
          <w:tcPr>
            <w:tcW w:w="9055"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63" w:type="dxa"/>
            <w:vMerge w:val="continue"/>
            <w:tcBorders>
              <w:bottom w:val="single" w:color="auto" w:sz="4" w:space="0"/>
            </w:tcBorders>
            <w:vAlign w:val="center"/>
          </w:tcPr>
          <w:p>
            <w:pPr>
              <w:spacing w:line="240" w:lineRule="exact"/>
              <w:jc w:val="center"/>
              <w:rPr>
                <w:b/>
                <w:color w:val="000000" w:themeColor="text1"/>
                <w:sz w:val="20"/>
              </w:rPr>
            </w:pPr>
          </w:p>
        </w:tc>
        <w:tc>
          <w:tcPr>
            <w:tcW w:w="9055"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863"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05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63" w:type="dxa"/>
            <w:vMerge w:val="continue"/>
            <w:vAlign w:val="center"/>
          </w:tcPr>
          <w:p>
            <w:pPr>
              <w:spacing w:line="240" w:lineRule="exact"/>
              <w:jc w:val="center"/>
              <w:rPr>
                <w:b/>
                <w:color w:val="000000" w:themeColor="text1"/>
                <w:sz w:val="20"/>
              </w:rPr>
            </w:pPr>
          </w:p>
        </w:tc>
        <w:tc>
          <w:tcPr>
            <w:tcW w:w="905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63" w:type="dxa"/>
            <w:vMerge w:val="continue"/>
            <w:vAlign w:val="center"/>
          </w:tcPr>
          <w:p>
            <w:pPr>
              <w:spacing w:line="240" w:lineRule="exact"/>
              <w:jc w:val="center"/>
              <w:rPr>
                <w:b/>
                <w:color w:val="000000" w:themeColor="text1"/>
                <w:sz w:val="20"/>
              </w:rPr>
            </w:pPr>
          </w:p>
        </w:tc>
        <w:tc>
          <w:tcPr>
            <w:tcW w:w="905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863" w:type="dxa"/>
            <w:vMerge w:val="continue"/>
            <w:vAlign w:val="center"/>
          </w:tcPr>
          <w:p>
            <w:pPr>
              <w:spacing w:line="240" w:lineRule="exact"/>
              <w:jc w:val="center"/>
              <w:rPr>
                <w:b/>
                <w:color w:val="000000" w:themeColor="text1"/>
                <w:sz w:val="20"/>
              </w:rPr>
            </w:pPr>
          </w:p>
        </w:tc>
        <w:tc>
          <w:tcPr>
            <w:tcW w:w="905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863" w:type="dxa"/>
            <w:vMerge w:val="continue"/>
            <w:vAlign w:val="center"/>
          </w:tcPr>
          <w:p>
            <w:pPr>
              <w:spacing w:line="240" w:lineRule="exact"/>
              <w:jc w:val="center"/>
              <w:rPr>
                <w:b/>
                <w:color w:val="000000" w:themeColor="text1"/>
                <w:sz w:val="20"/>
              </w:rPr>
            </w:pPr>
          </w:p>
        </w:tc>
        <w:tc>
          <w:tcPr>
            <w:tcW w:w="905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rPr>
        <w:t xml:space="preserve"> 1项；其中</w:t>
      </w:r>
      <w:r>
        <w:rPr>
          <w:b/>
        </w:rPr>
        <w:pict>
          <v:line id="直接连接符 1" o:spid="_x0000_s1028" o:spt="20" style="position:absolute;left:0pt;margin-left:210pt;margin-top:16.2pt;height:0pt;width:0pt;z-index:25170022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 0 项，一般不符合1 项，观察项0项，</w:t>
      </w:r>
      <w:r>
        <w:rPr>
          <w:rFonts w:hint="eastAsia"/>
          <w:b/>
          <w:color w:val="000000" w:themeColor="text1"/>
        </w:rPr>
        <w:t>分布在部门行政部S8.2条款，分布见附件。（Q/J/E/S分开填写）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QMS  ■EMS  ■OHSMS持续的符合性及运行的有效性，以及与认证范围的持续相关性和适宜性及自我完善机制等。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szCs w:val="21"/>
              </w:rPr>
            </w:pPr>
            <w:r>
              <w:rPr>
                <w:rFonts w:ascii="宋体" w:hAnsi="宋体"/>
                <w:b/>
                <w:color w:val="000000"/>
                <w:sz w:val="20"/>
              </w:rPr>
              <w:t>QMS:</w:t>
            </w:r>
            <w:r>
              <w:rPr>
                <w:rFonts w:hint="eastAsia" w:ascii="宋体" w:hAnsi="宋体"/>
                <w:szCs w:val="21"/>
              </w:rPr>
              <w:t>建材、照明器具销售。</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建材、照明器具销售所涉及的相关环境管理活动。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建材、照明器具销售所涉及的相关职业健康安全管理活动。</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(■QMS  ■EMS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一般不符合报告在30天/严重不符合在60天针对不符合原因制定并实施纠正措施。验证方式见不符合项报告。</w:t>
      </w:r>
    </w:p>
    <w:p>
      <w:pPr>
        <w:numPr>
          <w:ilvl w:val="0"/>
          <w:numId w:val="3"/>
        </w:numPr>
        <w:spacing w:beforeLines="50" w:afterLines="50"/>
        <w:ind w:left="62" w:leftChars="-405" w:hanging="912" w:hangingChars="326"/>
        <w:rPr>
          <w:b/>
          <w:color w:val="000000" w:themeColor="text1"/>
          <w:sz w:val="16"/>
          <w:szCs w:val="1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rPr>
        <w:t>本次为远程审核，后续安排现场审核人日为1人日，审核验证项目有采购验收、产品交付、售后服务记录等。</w:t>
      </w:r>
      <w:r>
        <w:rPr>
          <w:rFonts w:hint="eastAsia" w:ascii="Times New Roman" w:hAnsi="Times New Roman" w:eastAsia="宋体" w:cs="Times New Roman"/>
          <w:b/>
          <w:color w:val="FF0000"/>
          <w:sz w:val="24"/>
          <w:szCs w:val="24"/>
        </w:rPr>
        <w:t>现场验证远程审核的有效性。提供的相关证实经现场验证真实有效。</w:t>
      </w:r>
    </w:p>
    <w:p>
      <w:pPr>
        <w:numPr>
          <w:numId w:val="0"/>
        </w:numPr>
        <w:spacing w:beforeLines="50" w:afterLines="50"/>
        <w:ind w:leftChars="-731" w:firstLine="522" w:firstLineChars="200"/>
        <w:rPr>
          <w:b/>
          <w:color w:val="000000" w:themeColor="text1"/>
          <w:sz w:val="16"/>
          <w:szCs w:val="16"/>
        </w:rPr>
      </w:pPr>
      <w:r>
        <w:rPr>
          <w:b/>
          <w:color w:val="000000" w:themeColor="text1"/>
          <w:sz w:val="26"/>
          <w:szCs w:val="26"/>
        </w:rPr>
        <w:drawing>
          <wp:anchor distT="0" distB="0" distL="0" distR="0" simplePos="0" relativeHeight="251701248" behindDoc="0" locked="0" layoutInCell="1" allowOverlap="1">
            <wp:simplePos x="0" y="0"/>
            <wp:positionH relativeFrom="column">
              <wp:posOffset>1675765</wp:posOffset>
            </wp:positionH>
            <wp:positionV relativeFrom="paragraph">
              <wp:posOffset>368935</wp:posOffset>
            </wp:positionV>
            <wp:extent cx="732790" cy="456565"/>
            <wp:effectExtent l="0" t="0" r="13970" b="63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b/>
          <w:color w:val="000000" w:themeColor="text1"/>
          <w:sz w:val="26"/>
          <w:szCs w:val="26"/>
        </w:rPr>
        <w:drawing>
          <wp:anchor distT="0" distB="0" distL="0" distR="0" simplePos="0" relativeHeight="251842560" behindDoc="0" locked="0" layoutInCell="1" allowOverlap="1">
            <wp:simplePos x="0" y="0"/>
            <wp:positionH relativeFrom="column">
              <wp:posOffset>3213100</wp:posOffset>
            </wp:positionH>
            <wp:positionV relativeFrom="paragraph">
              <wp:posOffset>13970</wp:posOffset>
            </wp:positionV>
            <wp:extent cx="805180" cy="501650"/>
            <wp:effectExtent l="0" t="0" r="2540" b="1270"/>
            <wp:wrapSquare wrapText="bothSides"/>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805180" cy="50165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beforeLines="50" w:line="360" w:lineRule="auto"/>
        <w:ind w:firstLine="552" w:firstLineChars="250"/>
        <w:rPr>
          <w:b/>
          <w:color w:val="000000" w:themeColor="text1"/>
        </w:rPr>
      </w:pPr>
      <w:r>
        <w:rPr>
          <w:rFonts w:hint="eastAsia"/>
          <w:b/>
          <w:sz w:val="22"/>
          <w:szCs w:val="22"/>
        </w:rPr>
        <w:drawing>
          <wp:anchor distT="0" distB="0" distL="114300" distR="114300" simplePos="0" relativeHeight="251754496" behindDoc="0" locked="0" layoutInCell="1" allowOverlap="1">
            <wp:simplePos x="0" y="0"/>
            <wp:positionH relativeFrom="column">
              <wp:posOffset>2193290</wp:posOffset>
            </wp:positionH>
            <wp:positionV relativeFrom="paragraph">
              <wp:posOffset>112395</wp:posOffset>
            </wp:positionV>
            <wp:extent cx="520065" cy="393700"/>
            <wp:effectExtent l="0" t="0" r="13335" b="2540"/>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签名.jpg"/>
                    <pic:cNvPicPr>
                      <a:picLocks noChangeAspect="1"/>
                    </pic:cNvPicPr>
                  </pic:nvPicPr>
                  <pic:blipFill>
                    <a:blip r:embed="rId7" cstate="print"/>
                    <a:stretch>
                      <a:fillRect/>
                    </a:stretch>
                  </pic:blipFill>
                  <pic:spPr>
                    <a:xfrm>
                      <a:off x="0" y="0"/>
                      <a:ext cx="520065" cy="393700"/>
                    </a:xfrm>
                    <a:prstGeom prst="rect">
                      <a:avLst/>
                    </a:prstGeom>
                    <a:noFill/>
                    <a:ln>
                      <a:noFill/>
                    </a:ln>
                  </pic:spPr>
                </pic:pic>
              </a:graphicData>
            </a:graphic>
          </wp:anchor>
        </w:drawing>
      </w:r>
      <w:r>
        <w:rPr>
          <w:rFonts w:hint="eastAsia"/>
          <w:b/>
          <w:sz w:val="22"/>
          <w:szCs w:val="22"/>
        </w:rPr>
        <w:drawing>
          <wp:anchor distT="0" distB="0" distL="114300" distR="114300" simplePos="0" relativeHeight="251704320" behindDoc="0" locked="0" layoutInCell="1" allowOverlap="1">
            <wp:simplePos x="0" y="0"/>
            <wp:positionH relativeFrom="column">
              <wp:posOffset>1508125</wp:posOffset>
            </wp:positionH>
            <wp:positionV relativeFrom="paragraph">
              <wp:posOffset>146685</wp:posOffset>
            </wp:positionV>
            <wp:extent cx="408940" cy="423545"/>
            <wp:effectExtent l="0" t="0" r="2540" b="317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8" cstate="print"/>
                    <a:srcRect/>
                    <a:stretch>
                      <a:fillRect/>
                    </a:stretch>
                  </pic:blipFill>
                  <pic:spPr>
                    <a:xfrm>
                      <a:off x="0" y="0"/>
                      <a:ext cx="408940" cy="423545"/>
                    </a:xfrm>
                    <a:prstGeom prst="rect">
                      <a:avLst/>
                    </a:prstGeom>
                    <a:noFill/>
                    <a:ln w="9525">
                      <a:noFill/>
                      <a:miter lim="800000"/>
                      <a:headEnd/>
                      <a:tailEnd/>
                    </a:ln>
                  </pic:spPr>
                </pic:pic>
              </a:graphicData>
            </a:graphic>
          </wp:anchor>
        </w:drawing>
      </w:r>
    </w:p>
    <w:p>
      <w:pPr>
        <w:snapToGrid w:val="0"/>
        <w:spacing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844608" behindDoc="0" locked="0" layoutInCell="1" allowOverlap="1">
            <wp:simplePos x="0" y="0"/>
            <wp:positionH relativeFrom="column">
              <wp:posOffset>3329305</wp:posOffset>
            </wp:positionH>
            <wp:positionV relativeFrom="paragraph">
              <wp:posOffset>20320</wp:posOffset>
            </wp:positionV>
            <wp:extent cx="595630" cy="297180"/>
            <wp:effectExtent l="0" t="0" r="13970" b="7620"/>
            <wp:wrapNone/>
            <wp:docPr id="8"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cd23edb0d814701504dd7deb97d797b"/>
                    <pic:cNvPicPr>
                      <a:picLocks noChangeAspect="1"/>
                    </pic:cNvPicPr>
                  </pic:nvPicPr>
                  <pic:blipFill>
                    <a:blip r:embed="rId9"/>
                    <a:srcRect l="10378" t="24118" r="4335" b="17352"/>
                    <a:stretch>
                      <a:fillRect/>
                    </a:stretch>
                  </pic:blipFill>
                  <pic:spPr>
                    <a:xfrm>
                      <a:off x="0" y="0"/>
                      <a:ext cx="595630" cy="297180"/>
                    </a:xfrm>
                    <a:prstGeom prst="rect">
                      <a:avLst/>
                    </a:prstGeom>
                    <a:noFill/>
                    <a:ln>
                      <a:noFill/>
                    </a:ln>
                  </pic:spPr>
                </pic:pic>
              </a:graphicData>
            </a:graphic>
          </wp:anchor>
        </w:drawing>
      </w:r>
      <w:r>
        <w:rPr>
          <w:rFonts w:hint="eastAsia"/>
          <w:b/>
          <w:color w:val="000000" w:themeColor="text1"/>
          <w:sz w:val="26"/>
          <w:szCs w:val="26"/>
        </w:rPr>
        <w:t>审核组组员（签名）：</w:t>
      </w:r>
      <w:bookmarkStart w:id="23" w:name="_GoBack"/>
      <w:bookmarkEnd w:id="23"/>
    </w:p>
    <w:p>
      <w:pPr>
        <w:snapToGrid w:val="0"/>
        <w:spacing w:line="360" w:lineRule="auto"/>
        <w:ind w:firstLine="1897" w:firstLineChars="900"/>
        <w:rPr>
          <w:rFonts w:hint="eastAsia" w:eastAsia="宋体"/>
          <w:b/>
          <w:color w:val="000000" w:themeColor="text1"/>
          <w:sz w:val="16"/>
          <w:szCs w:val="16"/>
          <w:lang w:val="en-US" w:eastAsia="zh-CN"/>
        </w:rPr>
      </w:pPr>
      <w:r>
        <w:rPr>
          <w:rFonts w:hint="eastAsia"/>
          <w:b/>
          <w:color w:val="000000" w:themeColor="text1"/>
        </w:rPr>
        <w:t>日期：2020 年 7 月13 日</w:t>
      </w:r>
      <w:r>
        <w:rPr>
          <w:rFonts w:hint="eastAsia" w:asciiTheme="minorEastAsia" w:hAnsiTheme="minorEastAsia" w:eastAsiaTheme="minorEastAsia"/>
          <w:b/>
          <w:color w:val="000000" w:themeColor="text1"/>
          <w:lang w:val="en-US" w:eastAsia="zh-CN"/>
        </w:rPr>
        <w:t>/</w:t>
      </w:r>
      <w:r>
        <w:rPr>
          <w:rFonts w:hint="eastAsia" w:ascii="Calibri" w:eastAsia="宋体"/>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20</w:t>
      </w:r>
      <w:r>
        <w:rPr>
          <w:rFonts w:hint="eastAsia" w:asciiTheme="minorEastAsia" w:hAnsiTheme="minorEastAsia" w:eastAsiaTheme="minor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zCs w:val="21"/>
        </w:rPr>
        <w:t>□QMS(  )个一般不符合，(  )个严重不符合，□验证合格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zCs w:val="21"/>
        </w:rPr>
        <w:t>OHSMS( 1 )个一般不符合，( 0 )个严重不符合，■验证合格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ind w:firstLine="261" w:firstLineChars="100"/>
        <w:rPr>
          <w:b/>
          <w:color w:val="000000" w:themeColor="text1"/>
          <w:szCs w:val="21"/>
        </w:rPr>
      </w:pPr>
      <w:r>
        <w:rPr>
          <w:b/>
          <w:color w:val="000000" w:themeColor="text1"/>
          <w:sz w:val="26"/>
          <w:szCs w:val="26"/>
        </w:rPr>
        <w:drawing>
          <wp:anchor distT="0" distB="0" distL="0" distR="0" simplePos="0" relativeHeight="251798528" behindDoc="0" locked="0" layoutInCell="1" allowOverlap="1">
            <wp:simplePos x="0" y="0"/>
            <wp:positionH relativeFrom="column">
              <wp:posOffset>745490</wp:posOffset>
            </wp:positionH>
            <wp:positionV relativeFrom="paragraph">
              <wp:posOffset>78740</wp:posOffset>
            </wp:positionV>
            <wp:extent cx="732790" cy="456565"/>
            <wp:effectExtent l="0" t="0" r="13970" b="635"/>
            <wp:wrapSquare wrapText="bothSides"/>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Cs w:val="21"/>
        </w:rPr>
        <w:t>组长签字:                               日期: 2020年7 月 16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日期：    </w:t>
      </w:r>
      <w:r>
        <w:rPr>
          <w:rFonts w:hint="eastAsia"/>
          <w:b/>
          <w:color w:val="000000" w:themeColor="text1"/>
          <w:lang w:val="en-US" w:eastAsia="zh-CN"/>
        </w:rPr>
        <w:t xml:space="preserve">  </w:t>
      </w:r>
      <w:r>
        <w:rPr>
          <w:rFonts w:hint="eastAsia"/>
          <w:b/>
          <w:color w:val="000000" w:themeColor="text1"/>
        </w:rPr>
        <w:t xml:space="preserve"> 年 </w:t>
      </w:r>
      <w:r>
        <w:rPr>
          <w:rFonts w:hint="eastAsia"/>
          <w:b/>
          <w:color w:val="000000" w:themeColor="text1"/>
          <w:lang w:val="en-US" w:eastAsia="zh-CN"/>
        </w:rPr>
        <w:t xml:space="preserve">  </w:t>
      </w:r>
      <w:r>
        <w:rPr>
          <w:rFonts w:hint="eastAsia"/>
          <w:b/>
          <w:color w:val="000000" w:themeColor="text1"/>
        </w:rPr>
        <w:t xml:space="preserve"> 月</w:t>
      </w:r>
      <w:r>
        <w:rPr>
          <w:rFonts w:hint="eastAsia"/>
          <w:b/>
          <w:color w:val="000000" w:themeColor="text1"/>
          <w:lang w:val="en-US" w:eastAsia="zh-CN"/>
        </w:rPr>
        <w:t xml:space="preserve">  </w:t>
      </w:r>
      <w:r>
        <w:rPr>
          <w:rFonts w:hint="eastAsia"/>
          <w:b/>
          <w:color w:val="000000" w:themeColor="text1"/>
        </w:rPr>
        <w:t xml:space="preserve">  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日期：   </w:t>
      </w:r>
      <w:r>
        <w:rPr>
          <w:rFonts w:hint="eastAsia"/>
          <w:b/>
          <w:color w:val="000000" w:themeColor="text1"/>
          <w:lang w:val="en-US" w:eastAsia="zh-CN"/>
        </w:rPr>
        <w:t xml:space="preserve"> </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 xml:space="preserve">年 </w:t>
      </w:r>
      <w:r>
        <w:rPr>
          <w:rFonts w:hint="eastAsia"/>
          <w:b/>
          <w:color w:val="000000" w:themeColor="text1"/>
          <w:lang w:val="en-US" w:eastAsia="zh-CN"/>
        </w:rPr>
        <w:t xml:space="preserve">   </w:t>
      </w:r>
      <w:r>
        <w:rPr>
          <w:rFonts w:hint="eastAsia"/>
          <w:b/>
          <w:color w:val="000000" w:themeColor="text1"/>
        </w:rPr>
        <w:t xml:space="preserve">月  </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7560B5"/>
    <w:multiLevelType w:val="singleLevel"/>
    <w:tmpl w:val="5F7560B5"/>
    <w:lvl w:ilvl="0" w:tentative="0">
      <w:start w:val="13"/>
      <w:numFmt w:val="chineseCounting"/>
      <w:suff w:val="space"/>
      <w:lvlText w:val="%1、"/>
      <w:lvlJc w:val="left"/>
      <w:rPr>
        <w:rFonts w:hint="eastAsia"/>
      </w:r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455F87"/>
    <w:rsid w:val="5E0653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2020-12-19T14:40:50Z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