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昭通亮风台信息科技有限公司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w:t>
            </w:r>
          </w:p>
          <w:p>
            <w:pPr>
              <w:spacing w:line="240" w:lineRule="exact"/>
              <w:jc w:val="center"/>
              <w:rPr>
                <w:b/>
                <w:color w:val="000000" w:themeColor="text1"/>
                <w:sz w:val="20"/>
                <w:szCs w:val="20"/>
              </w:rPr>
            </w:pPr>
            <w:r>
              <w:rPr>
                <w:b/>
                <w:color w:val="000000" w:themeColor="text1"/>
                <w:sz w:val="20"/>
                <w:szCs w:val="20"/>
              </w:rP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昭通亮风台信息科技有限公司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云南省昭通市鲁甸县茨院乡板板房村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657000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昭通市昭阳区鲁甸路御峰云府13栋2楼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657000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代懿航</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0870-2231999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王迅</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王迅</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李国庆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Q：软件开发（人工智能整体解决方案提供）</w:t>
            </w:r>
          </w:p>
          <w:p>
            <w:pPr>
              <w:spacing w:line="320" w:lineRule="exact"/>
              <w:rPr>
                <w:rFonts w:ascii="宋体" w:hAnsi="宋体"/>
                <w:b/>
                <w:color w:val="000000" w:themeColor="text1"/>
                <w:sz w:val="20"/>
                <w:szCs w:val="20"/>
              </w:rPr>
            </w:pPr>
            <w:r>
              <w:rPr>
                <w:rFonts w:ascii="宋体" w:hAnsi="宋体"/>
                <w:b/>
                <w:color w:val="000000" w:themeColor="text1"/>
                <w:sz w:val="20"/>
                <w:szCs w:val="20"/>
              </w:rPr>
              <w:t>E：软件开发（人工智能整体解决方案提供）所涉及的相关环境管理活动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Q：33.02.01</w:t>
            </w:r>
          </w:p>
          <w:p>
            <w:pPr>
              <w:spacing w:line="320" w:lineRule="exact"/>
              <w:rPr>
                <w:rFonts w:ascii="宋体" w:hAnsi="宋体"/>
                <w:b/>
                <w:color w:val="000000" w:themeColor="text1"/>
                <w:sz w:val="20"/>
                <w:szCs w:val="20"/>
              </w:rPr>
            </w:pPr>
            <w:r>
              <w:rPr>
                <w:rFonts w:ascii="宋体" w:hAnsi="宋体"/>
                <w:b/>
                <w:color w:val="000000" w:themeColor="text1"/>
                <w:sz w:val="20"/>
                <w:szCs w:val="20"/>
              </w:rPr>
              <w:t>E：33.02.01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数据平台</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产品研发；产品验收管理；监视和测量设备管理；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营销部</w:t>
            </w:r>
          </w:p>
        </w:tc>
        <w:tc>
          <w:tcPr>
            <w:tcW w:w="6804" w:type="dxa"/>
            <w:vAlign w:val="top"/>
          </w:tcPr>
          <w:p>
            <w:pPr>
              <w:jc w:val="lef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rPr>
              <w:t>软件开发（人工智能整体解决方案提供）</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eastAsia="宋体" w:cs="宋体"/>
                <w:szCs w:val="21"/>
                <w:lang w:val="en-US" w:eastAsia="zh-CN"/>
              </w:rPr>
              <w:t>计算机软件开发规范GB8566-88、计算机软件单元测试GB/T 15532-95、计算机软件测试编制指南GB/ T9386-88、计算机软件需求说明编制指南GB/T 9385-88等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2019年11月25日至2020年12月13日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default" w:ascii="宋体" w:hAnsi="宋体" w:eastAsia="宋体"/>
                <w:color w:val="000000" w:themeColor="text1"/>
                <w:lang w:val="en-US" w:eastAsia="zh-CN"/>
              </w:rPr>
            </w:pPr>
            <w:r>
              <w:rPr>
                <w:rFonts w:hint="eastAsia" w:ascii="宋体" w:hAnsi="宋体"/>
                <w:color w:val="000000" w:themeColor="text1"/>
                <w:lang w:val="en-US" w:eastAsia="zh-CN"/>
              </w:rPr>
              <w:t>管理方针：</w:t>
            </w:r>
          </w:p>
          <w:p>
            <w:pPr>
              <w:spacing w:line="400" w:lineRule="exact"/>
              <w:ind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以稳定品质、完善服务、持续改进、满足顾客需求；</w:t>
            </w:r>
          </w:p>
          <w:p>
            <w:pPr>
              <w:spacing w:line="360" w:lineRule="auto"/>
              <w:ind w:firstLine="420" w:firstLineChars="200"/>
              <w:jc w:val="left"/>
              <w:rPr>
                <w:b/>
                <w:color w:val="000000" w:themeColor="text1"/>
              </w:rPr>
            </w:pPr>
            <w:r>
              <w:rPr>
                <w:rFonts w:hint="eastAsia" w:ascii="Times New Roman" w:hAnsi="Times New Roman" w:cs="Times New Roman"/>
                <w:color w:val="auto"/>
                <w:sz w:val="21"/>
                <w:szCs w:val="21"/>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质量管理体系过程有：合同评审、采购、研发过程等。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研发</w:t>
            </w:r>
            <w:r>
              <w:rPr>
                <w:rFonts w:hint="eastAsia" w:ascii="宋体" w:hAnsi="宋体"/>
                <w:b/>
                <w:color w:val="000000" w:themeColor="text1"/>
                <w:sz w:val="20"/>
                <w:szCs w:val="20"/>
              </w:rPr>
              <w:t xml:space="preserve">过程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sz w:val="21"/>
                <w:szCs w:val="21"/>
              </w:rPr>
            </w:pPr>
            <w:r>
              <w:rPr>
                <w:rFonts w:hint="eastAsia"/>
                <w:lang w:val="en-US" w:eastAsia="zh-CN"/>
              </w:rPr>
              <w:t>7</w:t>
            </w:r>
            <w:r>
              <w:rPr>
                <w:rFonts w:ascii="宋体" w:hAnsi="宋体"/>
                <w:b/>
                <w:sz w:val="21"/>
                <w:szCs w:val="21"/>
              </w:rPr>
              <w:t xml:space="preserve">.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tabs>
                <w:tab w:val="left" w:pos="1220"/>
              </w:tabs>
              <w:bidi w:val="0"/>
              <w:jc w:val="left"/>
              <w:rPr>
                <w:rFonts w:hint="eastAsia"/>
                <w:lang w:val="en-US" w:eastAsia="zh-CN"/>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结合公司的■产品/服务■环境因素，■确定 □未确定法律法规要求的具体条款，</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法律法规的宣传方式：培训、会议、张贴。</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公司质量环境目标为：</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产品研发合格率100%</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客户满意度≥90分</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w:t>
            </w:r>
            <w:r>
              <w:rPr>
                <w:rFonts w:hint="eastAsia" w:ascii="宋体" w:hAnsi="宋体" w:cs="宋体"/>
                <w:color w:val="000000"/>
                <w:kern w:val="0"/>
                <w:szCs w:val="21"/>
              </w:rPr>
              <w:t>对固体废弃物100%处理</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火灾事故发生率为0</w:t>
            </w:r>
            <w:r>
              <w:rPr>
                <w:rFonts w:hint="eastAsia" w:ascii="宋体" w:hAnsi="宋体" w:cs="宋体"/>
                <w:color w:val="000000"/>
                <w:kern w:val="0"/>
                <w:szCs w:val="21"/>
                <w:lang w:eastAsia="zh-CN"/>
              </w:rPr>
              <w:t>。</w:t>
            </w:r>
          </w:p>
          <w:p>
            <w:pPr>
              <w:spacing w:line="360" w:lineRule="auto"/>
              <w:ind w:firstLine="422" w:firstLineChars="20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val="en-US" w:eastAsia="zh-CN"/>
              </w:rPr>
              <w:t>质量、</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w:t>
            </w:r>
            <w:r>
              <w:rPr>
                <w:rFonts w:hint="eastAsia" w:ascii="宋体" w:hAnsi="宋体"/>
                <w:szCs w:val="21"/>
              </w:rPr>
              <w:t>软件开发（人工智能整体解决方案提供）</w:t>
            </w:r>
            <w:r>
              <w:rPr>
                <w:rFonts w:hint="eastAsia" w:ascii="宋体" w:hAnsi="宋体"/>
                <w:bCs/>
                <w:iCs/>
                <w:szCs w:val="22"/>
              </w:rPr>
              <w:t>相关</w:t>
            </w:r>
            <w:r>
              <w:rPr>
                <w:rFonts w:hint="eastAsia" w:ascii="宋体" w:hAnsi="宋体"/>
                <w:bCs/>
                <w:iCs/>
                <w:szCs w:val="22"/>
                <w:lang w:val="en-US"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s="宋体"/>
                <w:szCs w:val="21"/>
              </w:rPr>
              <w:t>办公面积</w:t>
            </w:r>
            <w:r>
              <w:rPr>
                <w:rFonts w:hint="eastAsia" w:ascii="宋体" w:hAnsi="宋体" w:cs="宋体"/>
                <w:szCs w:val="21"/>
                <w:lang w:val="en-US" w:eastAsia="zh-CN"/>
              </w:rPr>
              <w:t>100</w:t>
            </w:r>
            <w:r>
              <w:rPr>
                <w:rFonts w:hint="eastAsia" w:ascii="宋体" w:hAnsi="宋体" w:cs="宋体"/>
                <w:szCs w:val="21"/>
              </w:rPr>
              <w:t>平方米左右，主要生产设备包括：</w:t>
            </w:r>
            <w:r>
              <w:rPr>
                <w:rFonts w:hint="eastAsia" w:ascii="宋体" w:hAnsi="宋体" w:cs="宋体"/>
                <w:szCs w:val="21"/>
                <w:lang w:val="en-US" w:eastAsia="zh-CN"/>
              </w:rPr>
              <w:t>笔记本电脑、台式电脑、打印机、华三交换机、服务器等37台套</w:t>
            </w:r>
            <w:r>
              <w:rPr>
                <w:rFonts w:hint="eastAsia" w:ascii="宋体" w:hAnsi="宋体" w:cs="宋体"/>
                <w:szCs w:val="21"/>
              </w:rPr>
              <w:t>，可以满足软件开发（人工智能整体解决方案提供）</w:t>
            </w:r>
            <w:r>
              <w:rPr>
                <w:rFonts w:hint="eastAsia" w:ascii="宋体" w:hAnsi="宋体" w:cs="宋体"/>
                <w:szCs w:val="21"/>
                <w:lang w:val="en-US" w:eastAsia="zh-CN"/>
              </w:rPr>
              <w:t>的</w:t>
            </w:r>
            <w:r>
              <w:rPr>
                <w:rFonts w:hint="eastAsia" w:ascii="宋体" w:hAnsi="宋体" w:cs="宋体"/>
                <w:szCs w:val="21"/>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 xml:space="preserve">接口测试：postman、jmeter。自动化：编程语言python+selenium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sz w:val="20"/>
                <w:szCs w:val="20"/>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val="en-US"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w:t>
            </w:r>
            <w:r>
              <w:rPr>
                <w:rFonts w:hint="eastAsia" w:asciiTheme="minorEastAsia" w:hAnsiTheme="minorEastAsia" w:eastAsiaTheme="minorEastAsia"/>
                <w:bCs/>
                <w:iCs/>
                <w:lang w:val="en-US" w:eastAsia="zh-CN"/>
              </w:rPr>
              <w:t>设计开发</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w:t>
            </w:r>
            <w:r>
              <w:rPr>
                <w:rFonts w:hint="eastAsia"/>
                <w:b/>
                <w:sz w:val="20"/>
                <w:szCs w:val="20"/>
                <w:lang w:val="en-US" w:eastAsia="zh-CN"/>
              </w:rPr>
              <w:t>1</w:t>
            </w:r>
            <w:r>
              <w:rPr>
                <w:rFonts w:hint="eastAsia"/>
                <w:b/>
                <w:sz w:val="20"/>
                <w:szCs w:val="20"/>
              </w:rPr>
              <w:t xml:space="preserve">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315" w:firstLineChars="1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w:t>
            </w:r>
            <w:r>
              <w:rPr>
                <w:rFonts w:hint="eastAsia" w:ascii="宋体" w:hAnsi="宋体" w:cs="宋体"/>
                <w:szCs w:val="21"/>
                <w:highlight w:val="none"/>
              </w:rPr>
              <w:t>到沟通和监视评价，通过数据的汇总统计、描述性统计等方法对目标进行了测量，总体已达到或超过了规定的目标值。通过2019年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2020年11</w:t>
            </w:r>
            <w:r>
              <w:rPr>
                <w:rFonts w:hint="eastAsia" w:ascii="宋体" w:hAnsi="宋体" w:cs="宋体"/>
                <w:szCs w:val="21"/>
                <w:highlight w:val="none"/>
              </w:rPr>
              <w:t>月目标的测量，总体已达到或超过了规定的目标值。</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w:t>
            </w:r>
            <w:r>
              <w:rPr>
                <w:rFonts w:hint="eastAsia" w:ascii="宋体" w:hAnsi="宋体" w:cs="宋体"/>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w:t>
            </w:r>
            <w:r>
              <w:rPr>
                <w:rFonts w:hint="eastAsia" w:ascii="宋体" w:hAnsi="宋体" w:cs="宋体"/>
                <w:szCs w:val="21"/>
                <w:highlight w:val="none"/>
                <w:lang w:val="en-US" w:eastAsia="zh-CN"/>
              </w:rPr>
              <w:t>100</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rFonts w:hint="default"/>
                <w:b/>
                <w:sz w:val="20"/>
                <w:szCs w:val="20"/>
                <w:lang w:val="en-US"/>
              </w:rPr>
            </w:pPr>
            <w:r>
              <w:rPr>
                <w:rFonts w:hint="eastAsia" w:ascii="宋体" w:hAnsi="宋体" w:cs="宋体"/>
                <w:szCs w:val="21"/>
              </w:rPr>
              <w:t>建立有《内部审核控制程序》，规定了内审频次一年一次，内审时间：20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04日</w:t>
            </w:r>
            <w:r>
              <w:rPr>
                <w:rFonts w:hint="eastAsia" w:ascii="宋体" w:hAnsi="宋体" w:cs="宋体"/>
                <w:szCs w:val="21"/>
              </w:rPr>
              <w:t>，拟定了审核实施表，明确了内审范围，内审人员经培训合格上岗，能力满足要求，未出现审核本部门情况，内审不符合项2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cs="Times New Roman"/>
                <w:b/>
                <w:color w:val="000000" w:themeColor="text1"/>
              </w:rPr>
            </w:pPr>
            <w:r>
              <w:rPr>
                <w:rFonts w:ascii="宋体" w:hAnsi="宋体"/>
                <w:b/>
                <w:color w:val="000000" w:themeColor="text1"/>
              </w:rPr>
              <w:t>QMS:</w:t>
            </w:r>
            <w:r>
              <w:rPr>
                <w:rFonts w:hint="eastAsia" w:ascii="宋体" w:hAnsi="宋体"/>
                <w:szCs w:val="21"/>
              </w:rPr>
              <w:t>：</w:t>
            </w:r>
            <w:r>
              <w:rPr>
                <w:rFonts w:hint="eastAsia" w:ascii="宋体" w:hAnsi="宋体" w:cs="Times New Roman"/>
                <w:b/>
                <w:color w:val="000000" w:themeColor="text1"/>
              </w:rPr>
              <w:t>软件开发（人工智能整体解决方案提供）</w:t>
            </w:r>
          </w:p>
          <w:p>
            <w:pPr>
              <w:rPr>
                <w:rFonts w:ascii="宋体" w:hAnsi="宋体" w:cs="Times New Roman"/>
                <w:b/>
                <w:color w:val="000000" w:themeColor="text1"/>
              </w:rPr>
            </w:pPr>
          </w:p>
          <w:p>
            <w:pPr>
              <w:rPr>
                <w:rFonts w:ascii="宋体" w:hAnsi="宋体" w:cs="Times New Roman"/>
                <w:b/>
                <w:color w:val="000000" w:themeColor="text1"/>
                <w:lang w:val="en-GB"/>
              </w:rPr>
            </w:pPr>
            <w:r>
              <w:rPr>
                <w:rFonts w:hint="eastAsia" w:ascii="宋体" w:hAnsi="宋体" w:cs="Times New Roman"/>
                <w:b/>
                <w:color w:val="000000" w:themeColor="text1"/>
              </w:rPr>
              <w:t>EMS</w:t>
            </w:r>
            <w:r>
              <w:rPr>
                <w:rFonts w:hint="eastAsia" w:ascii="宋体" w:hAnsi="宋体" w:cs="Times New Roman"/>
                <w:b/>
                <w:color w:val="000000" w:themeColor="text1"/>
                <w:lang w:val="en-GB"/>
              </w:rPr>
              <w:t>:</w:t>
            </w:r>
            <w:r>
              <w:rPr>
                <w:rFonts w:hint="eastAsia" w:ascii="宋体" w:hAnsi="宋体" w:cs="Times New Roman"/>
                <w:b/>
                <w:color w:val="000000" w:themeColor="text1"/>
              </w:rPr>
              <w:t xml:space="preserve">软件开发（人工智能整体解决方案提供）所涉及的相关环境管理活动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73600" behindDoc="0" locked="0" layoutInCell="1" allowOverlap="1">
            <wp:simplePos x="0" y="0"/>
            <wp:positionH relativeFrom="column">
              <wp:posOffset>1834515</wp:posOffset>
            </wp:positionH>
            <wp:positionV relativeFrom="paragraph">
              <wp:posOffset>325120</wp:posOffset>
            </wp:positionV>
            <wp:extent cx="495300" cy="350520"/>
            <wp:effectExtent l="0" t="0" r="0" b="12065"/>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495300" cy="3505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eastAsiaTheme="minorEastAsia"/>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12月13日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89984" behindDoc="0" locked="0" layoutInCell="1" allowOverlap="1">
            <wp:simplePos x="0" y="0"/>
            <wp:positionH relativeFrom="column">
              <wp:posOffset>808990</wp:posOffset>
            </wp:positionH>
            <wp:positionV relativeFrom="paragraph">
              <wp:posOffset>116840</wp:posOffset>
            </wp:positionV>
            <wp:extent cx="495300" cy="350520"/>
            <wp:effectExtent l="0" t="0" r="0" b="12065"/>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495300" cy="350520"/>
                    </a:xfrm>
                    <a:prstGeom prst="rect">
                      <a:avLst/>
                    </a:prstGeom>
                  </pic:spPr>
                </pic:pic>
              </a:graphicData>
            </a:graphic>
          </wp:anchor>
        </w:drawing>
      </w:r>
      <w:r>
        <w:rPr>
          <w:rFonts w:hint="eastAsia"/>
          <w:b/>
          <w:color w:val="000000" w:themeColor="text1"/>
          <w:szCs w:val="21"/>
        </w:rPr>
        <w:t xml:space="preserve">组长签字: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55088"/>
    <w:rsid w:val="015B08D8"/>
    <w:rsid w:val="20EB1734"/>
    <w:rsid w:val="2F302DCB"/>
    <w:rsid w:val="534F08E9"/>
    <w:rsid w:val="75974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2020-12-14T06:06:07Z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