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9" w:name="_GoBack"/>
      <w:r>
        <w:rPr>
          <w:rFonts w:hint="eastAsia" w:eastAsia="宋体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-1803400</wp:posOffset>
            </wp:positionH>
            <wp:positionV relativeFrom="paragraph">
              <wp:posOffset>379730</wp:posOffset>
            </wp:positionV>
            <wp:extent cx="10146030" cy="7628255"/>
            <wp:effectExtent l="0" t="0" r="4445" b="1270"/>
            <wp:wrapNone/>
            <wp:docPr id="3" name="图片 3" descr="bd5076f0b9d1cee95ad3861476f8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d5076f0b9d1cee95ad3861476f81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146030" cy="762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宝鸡市陈仓区东升锻造厂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陕西省宝鸡市高新开发区钓渭镇西崖村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尚铁娃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13038492993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尚铁娃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0154-2019-M/0490-2019-E-2020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汽车变速箱用轴、齿轮等产品的锻造和机械加工及相关环境管理活动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17.10.02;18.01.05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2020年12月11日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2020年12月12日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17.10.02,18.01.05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111760</wp:posOffset>
                  </wp:positionV>
                  <wp:extent cx="417195" cy="330200"/>
                  <wp:effectExtent l="0" t="0" r="1905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400" w:firstLineChars="200"/>
              <w:jc w:val="both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600" w:firstLineChars="3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2020.12.11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2020.12.11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keepNext w:val="0"/>
        <w:keepLines w:val="0"/>
        <w:widowControl/>
        <w:suppressLineNumbers w:val="0"/>
        <w:ind w:firstLine="3614" w:firstLineChars="1200"/>
        <w:jc w:val="lef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val="en-US" w:eastAsia="zh-CN" w:bidi="ar"/>
        </w:rPr>
        <w:t xml:space="preserve">现场审核日程安排表 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60"/>
        <w:gridCol w:w="6679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7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11</w:t>
            </w: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管理层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、4.2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、4.3 、4.4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、5.1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、5.2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、5.3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、7.1、7.4、9.3、10.1、10.3，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初次审核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问题验证；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</w:rPr>
              <w:t>技术质量科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、6.1.2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、8.1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</w:rPr>
              <w:t>供销科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（含库房）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、6.1.2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、8.1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、8.2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top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</w:rPr>
              <w:t>办公室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（含食堂、厂区）</w:t>
            </w:r>
          </w:p>
          <w:p>
            <w:pPr>
              <w:adjustRightInd w:val="0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、6.1.2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、6.1.3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、6.2.1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、6.2.2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、6.1.4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、7.2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、7.3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、7.5.1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、7.5.2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、7.5.3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、8.1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、8.2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、9.1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（9.1.1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、9.1.2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）、9.2、10.2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，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</w:tc>
        <w:tc>
          <w:tcPr>
            <w:tcW w:w="6679" w:type="dxa"/>
            <w:vAlign w:val="top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生产科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、6.1.2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、8.1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、8.2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，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00～11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30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补充及跟踪审核，审核组与受审核方沟通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30～12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D917E0A"/>
    <w:rsid w:val="165D1A58"/>
    <w:rsid w:val="167A4BAA"/>
    <w:rsid w:val="24C709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11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2020-12-15T16:20:17Z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