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四川恒瑞行商贸有限公司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四川恒瑞行商贸有限公司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四川省成都经济技术开发区（龙泉驿区）成都汽车城大道333号附106号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610100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left"/>
              <w:rPr>
                <w:rFonts w:ascii="宋体" w:hAnsi="宋体"/>
                <w:b/>
                <w:color w:val="000000" w:themeColor="text1"/>
                <w:sz w:val="20"/>
                <w:szCs w:val="20"/>
              </w:rPr>
            </w:pPr>
            <w:bookmarkStart w:id="9" w:name="办公地址"/>
            <w:r>
              <w:rPr>
                <w:rFonts w:ascii="宋体" w:hAnsi="宋体"/>
                <w:b/>
                <w:color w:val="000000" w:themeColor="text1"/>
                <w:sz w:val="20"/>
                <w:szCs w:val="20"/>
              </w:rPr>
              <w:t>四川省成都经济技术开发区（龙泉驿区）成都汽车城大道333号附106号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610100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游琳</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15882066139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唐丽</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ascii="宋体" w:hAnsi="宋体"/>
                <w:b/>
                <w:color w:val="000000" w:themeColor="text1"/>
                <w:sz w:val="20"/>
                <w:szCs w:val="20"/>
              </w:rPr>
            </w:pPr>
            <w:bookmarkStart w:id="15" w:name="最高管理者"/>
            <w:bookmarkEnd w:id="15"/>
            <w:r>
              <w:rPr>
                <w:rFonts w:ascii="宋体" w:hAnsi="宋体"/>
                <w:b/>
                <w:color w:val="000000" w:themeColor="text1"/>
                <w:sz w:val="20"/>
                <w:szCs w:val="20"/>
              </w:rPr>
              <w:t>唐丽</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唐丽</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冷藏保温箱体及配件的生产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18.02.05</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2020-07-25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lang w:val="en-US" w:eastAsia="zh-CN"/>
              </w:rPr>
              <w:t>技质</w:t>
            </w:r>
            <w:r>
              <w:rPr>
                <w:rFonts w:hint="eastAsia" w:ascii="宋体" w:hAnsi="宋体"/>
                <w:b/>
                <w:color w:val="000000" w:themeColor="text1"/>
                <w:sz w:val="20"/>
                <w:szCs w:val="20"/>
                <w:lang w:eastAsia="zh-CN"/>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经营部</w:t>
            </w:r>
          </w:p>
        </w:tc>
        <w:tc>
          <w:tcPr>
            <w:tcW w:w="6804" w:type="dxa"/>
            <w:vAlign w:val="top"/>
          </w:tcPr>
          <w:p>
            <w:pPr>
              <w:jc w:val="left"/>
              <w:rPr>
                <w:rFonts w:hint="default"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r>
              <w:rPr>
                <w:rFonts w:hint="eastAsia" w:ascii="宋体" w:hAnsi="宋体"/>
                <w:b/>
                <w:color w:val="000000" w:themeColor="text1"/>
                <w:sz w:val="20"/>
                <w:szCs w:val="20"/>
                <w:lang w:val="en-US" w:eastAsia="zh-CN"/>
              </w:rPr>
              <w:t>顾客满意度。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 xml:space="preserve">冷藏保温箱体及配件的生产 </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szCs w:val="21"/>
                <w:highlight w:val="none"/>
                <w:lang w:val="en-US" w:eastAsia="zh-CN"/>
              </w:rPr>
              <w:t>未注尺寸公差GB/T 1804-2000、气焊设备 焊接、切割及相关工艺用炬JB/T 7947-2017机械加工工艺装备基本术语GB/T 1008-2008</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2020年07月25日至2020年12月11日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pPr w:leftFromText="180" w:rightFromText="180" w:vertAnchor="text" w:horzAnchor="page" w:tblpX="894" w:tblpY="939"/>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val="en-US"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10" w:firstLineChars="100"/>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质量第一、降本增效、精益求精、持续改进</w:t>
            </w:r>
            <w:r>
              <w:rPr>
                <w:rFonts w:hint="eastAsia" w:ascii="宋体" w:hAnsi="宋体"/>
                <w:color w:val="000000" w:themeColor="text1"/>
                <w:lang w:eastAsia="zh-CN"/>
              </w:rPr>
              <w:t xml:space="preserve"> </w:t>
            </w:r>
            <w:r>
              <w:rPr>
                <w:rFonts w:hint="eastAsia" w:ascii="宋体" w:hAnsi="宋体"/>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 xml:space="preserve">冷藏保温箱体及配件的生产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hint="default" w:ascii="宋体" w:eastAsia="宋体"/>
                <w:sz w:val="24"/>
                <w:szCs w:val="22"/>
                <w:highlight w:val="none"/>
                <w:lang w:val="en-US" w:eastAsia="zh-CN"/>
              </w:rPr>
            </w:pPr>
            <w:r>
              <w:rPr>
                <w:rFonts w:hint="eastAsia" w:ascii="宋体" w:hAnsi="宋体"/>
                <w:b/>
                <w:color w:val="000000" w:themeColor="text1"/>
                <w:sz w:val="20"/>
                <w:szCs w:val="20"/>
                <w:highlight w:val="none"/>
              </w:rPr>
              <w:t>需要确认过程：</w:t>
            </w:r>
            <w:r>
              <w:rPr>
                <w:rFonts w:hint="eastAsia" w:ascii="宋体"/>
                <w:sz w:val="24"/>
                <w:szCs w:val="22"/>
                <w:highlight w:val="none"/>
              </w:rPr>
              <w:t xml:space="preserve"> </w:t>
            </w:r>
            <w:r>
              <w:rPr>
                <w:rFonts w:hint="eastAsia" w:ascii="宋体" w:hAnsi="宋体" w:cs="Times New Roman"/>
                <w:szCs w:val="21"/>
                <w:lang w:val="en-US" w:eastAsia="zh-CN"/>
              </w:rPr>
              <w:t>焊接过程</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highlight w:val="none"/>
              </w:rPr>
              <w:pict>
                <v:shape id="_x0000_s2050" o:spid="_x0000_s2050" o:spt="32" type="#_x0000_t32" style="position:absolute;left:0pt;margin-left:55.15pt;margin-top:12.75pt;height:0pt;width:42pt;z-index:25167564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 xml:space="preserve">不适用条款是 </w:t>
            </w:r>
            <w:r>
              <w:rPr>
                <w:rFonts w:hint="eastAsia" w:ascii="宋体" w:hAnsi="宋体" w:cs="宋体"/>
                <w:sz w:val="21"/>
                <w:szCs w:val="21"/>
                <w:highlight w:val="none"/>
              </w:rPr>
              <w:t>8</w:t>
            </w:r>
            <w:r>
              <w:rPr>
                <w:rFonts w:hint="eastAsia" w:ascii="宋体" w:hAnsi="宋体"/>
                <w:b/>
                <w:color w:val="000000" w:themeColor="text1"/>
                <w:sz w:val="20"/>
                <w:szCs w:val="20"/>
                <w:highlight w:val="none"/>
              </w:rPr>
              <w:t>.3    ，不适用理由：</w:t>
            </w:r>
            <w:r>
              <w:rPr>
                <w:rFonts w:hint="eastAsia" w:ascii="宋体" w:hAnsi="宋体" w:cs="Times New Roman"/>
                <w:color w:val="000000"/>
                <w:szCs w:val="21"/>
                <w:lang w:val="en-US" w:eastAsia="zh-CN"/>
              </w:rPr>
              <w:t>公司</w:t>
            </w:r>
            <w:r>
              <w:rPr>
                <w:rFonts w:hint="eastAsia" w:ascii="宋体" w:hAnsi="宋体"/>
                <w:szCs w:val="21"/>
              </w:rPr>
              <w:t xml:space="preserve">冷藏保温箱体及配件的生产 </w:t>
            </w:r>
            <w:r>
              <w:rPr>
                <w:rFonts w:hint="eastAsia" w:ascii="宋体" w:hAnsi="宋体" w:cs="Times New Roman"/>
                <w:color w:val="000000"/>
                <w:szCs w:val="21"/>
                <w:lang w:val="en-US" w:eastAsia="zh-CN"/>
              </w:rPr>
              <w:t>依据客户图纸要求、国家技术标准生产。生产工艺成熟，模式固定</w:t>
            </w:r>
            <w:r>
              <w:rPr>
                <w:rFonts w:hint="eastAsia" w:ascii="宋体" w:hAnsi="宋体"/>
                <w:szCs w:val="21"/>
                <w:lang w:val="en-US" w:eastAsia="zh-CN"/>
              </w:rPr>
              <w:t xml:space="preserve">,因此标准8.3条款“产品和服务的设计和开发”要求不适用。不适用理由合理。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vAlign w:val="center"/>
          </w:tcPr>
          <w:p>
            <w:pPr>
              <w:spacing w:line="240" w:lineRule="exact"/>
              <w:jc w:val="center"/>
              <w:rPr>
                <w:b/>
                <w:color w:val="000000" w:themeColor="text1"/>
                <w:sz w:val="20"/>
              </w:rPr>
            </w:pPr>
          </w:p>
        </w:tc>
        <w:tc>
          <w:tcPr>
            <w:tcW w:w="9198" w:type="dxa"/>
          </w:tcPr>
          <w:p>
            <w:pPr>
              <w:tabs>
                <w:tab w:val="left" w:pos="540"/>
              </w:tabs>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numPr>
                <w:ilvl w:val="0"/>
                <w:numId w:val="3"/>
              </w:numPr>
              <w:tabs>
                <w:tab w:val="left" w:pos="540"/>
              </w:tabs>
              <w:spacing w:line="300" w:lineRule="exact"/>
              <w:rPr>
                <w:rFonts w:hint="eastAsia"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0"/>
              <w:numPr>
                <w:ilvl w:val="0"/>
                <w:numId w:val="0"/>
              </w:numPr>
              <w:tabs>
                <w:tab w:val="left" w:pos="540"/>
              </w:tabs>
              <w:spacing w:line="300" w:lineRule="exact"/>
              <w:ind w:leftChars="0"/>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2</w:t>
            </w:r>
            <w:r>
              <w:rPr>
                <w:rFonts w:hint="eastAsia" w:ascii="宋体" w:hAnsi="宋体"/>
                <w:b/>
                <w:color w:val="000000" w:themeColor="text1"/>
                <w:szCs w:val="21"/>
                <w:lang w:eastAsia="zh-CN"/>
              </w:rPr>
              <w:t>）</w:t>
            </w: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0"/>
              </w:numPr>
              <w:tabs>
                <w:tab w:val="left" w:pos="540"/>
              </w:tabs>
              <w:spacing w:line="300" w:lineRule="exact"/>
              <w:ind w:leftChars="0"/>
              <w:rPr>
                <w:rFonts w:hint="eastAsia"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3</w:t>
            </w:r>
            <w:r>
              <w:rPr>
                <w:rFonts w:hint="eastAsia" w:ascii="宋体" w:hAnsi="宋体"/>
                <w:b/>
                <w:color w:val="000000" w:themeColor="text1"/>
                <w:szCs w:val="21"/>
                <w:lang w:eastAsia="zh-CN"/>
              </w:rPr>
              <w:t>）</w:t>
            </w:r>
            <w:r>
              <w:rPr>
                <w:rFonts w:hint="eastAsia" w:ascii="宋体" w:hAnsi="宋体"/>
                <w:b/>
                <w:color w:val="000000" w:themeColor="text1"/>
                <w:szCs w:val="21"/>
              </w:rPr>
              <w:t>法律法规的宣传方式：培训、会议、张贴。</w:t>
            </w:r>
          </w:p>
          <w:p>
            <w:pPr>
              <w:pStyle w:val="10"/>
              <w:numPr>
                <w:ilvl w:val="0"/>
                <w:numId w:val="0"/>
              </w:numPr>
              <w:tabs>
                <w:tab w:val="left" w:pos="540"/>
              </w:tabs>
              <w:spacing w:line="300" w:lineRule="exact"/>
              <w:ind w:leftChars="0"/>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4</w:t>
            </w:r>
            <w:r>
              <w:rPr>
                <w:rFonts w:hint="eastAsia" w:ascii="宋体" w:hAnsi="宋体"/>
                <w:b/>
                <w:color w:val="000000" w:themeColor="text1"/>
                <w:szCs w:val="21"/>
                <w:lang w:eastAsia="zh-CN"/>
              </w:rPr>
              <w:t>）</w:t>
            </w: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rPr>
              <w:t>质量目标</w:t>
            </w:r>
            <w:r>
              <w:rPr>
                <w:rFonts w:hint="eastAsia" w:ascii="宋体" w:hAnsi="宋体" w:cs="宋体"/>
                <w:color w:val="000000"/>
                <w:kern w:val="0"/>
                <w:szCs w:val="21"/>
                <w:lang w:val="en-US" w:eastAsia="zh-CN"/>
              </w:rPr>
              <w:t>：</w:t>
            </w:r>
          </w:p>
          <w:p>
            <w:pPr>
              <w:rPr>
                <w:rFonts w:hint="eastAsia" w:ascii="宋体" w:hAnsi="宋体"/>
                <w:sz w:val="21"/>
                <w:szCs w:val="21"/>
                <w:lang w:val="en-US" w:eastAsia="zh-CN"/>
              </w:rPr>
            </w:pPr>
            <w:r>
              <w:rPr>
                <w:rFonts w:hint="eastAsia" w:ascii="宋体" w:hAnsi="宋体"/>
                <w:sz w:val="21"/>
                <w:szCs w:val="21"/>
                <w:lang w:val="en-US" w:eastAsia="zh-CN"/>
              </w:rPr>
              <w:t>1. 产品一次合格率达95%以上；</w:t>
            </w:r>
          </w:p>
          <w:p>
            <w:pPr>
              <w:rPr>
                <w:rFonts w:hint="eastAsia" w:ascii="宋体" w:hAnsi="宋体"/>
                <w:sz w:val="21"/>
                <w:szCs w:val="21"/>
                <w:lang w:val="en-US" w:eastAsia="zh-CN"/>
              </w:rPr>
            </w:pPr>
            <w:r>
              <w:rPr>
                <w:rFonts w:hint="eastAsia" w:ascii="宋体" w:hAnsi="宋体"/>
                <w:sz w:val="21"/>
                <w:szCs w:val="21"/>
                <w:lang w:val="en-US" w:eastAsia="zh-CN"/>
              </w:rPr>
              <w:t xml:space="preserve">2. </w:t>
            </w:r>
            <w:r>
              <w:rPr>
                <w:rFonts w:hint="eastAsia" w:ascii="宋体" w:hAnsi="宋体"/>
                <w:sz w:val="21"/>
                <w:szCs w:val="21"/>
              </w:rPr>
              <w:t>产品出厂合格率</w:t>
            </w:r>
            <w:r>
              <w:rPr>
                <w:rFonts w:hint="eastAsia" w:ascii="宋体" w:hAnsi="宋体"/>
                <w:sz w:val="21"/>
                <w:szCs w:val="21"/>
                <w:lang w:val="en-US" w:eastAsia="zh-CN"/>
              </w:rPr>
              <w:t>达到</w:t>
            </w:r>
            <w:r>
              <w:rPr>
                <w:rFonts w:hint="eastAsia" w:ascii="宋体" w:hAnsi="宋体"/>
                <w:sz w:val="21"/>
                <w:szCs w:val="21"/>
              </w:rPr>
              <w:t>100%</w:t>
            </w:r>
            <w:r>
              <w:rPr>
                <w:rFonts w:hint="eastAsia" w:ascii="宋体" w:hAnsi="宋体"/>
                <w:sz w:val="21"/>
                <w:szCs w:val="21"/>
                <w:lang w:val="en-US" w:eastAsia="zh-CN"/>
              </w:rPr>
              <w:t>；</w:t>
            </w:r>
          </w:p>
          <w:p>
            <w:pPr>
              <w:spacing w:line="360" w:lineRule="auto"/>
              <w:jc w:val="left"/>
              <w:rPr>
                <w:rFonts w:ascii="宋体" w:hAnsi="宋体"/>
                <w:b/>
                <w:color w:val="000000" w:themeColor="text1"/>
              </w:rPr>
            </w:pPr>
            <w:r>
              <w:rPr>
                <w:rFonts w:hint="eastAsia" w:ascii="宋体" w:hAnsi="宋体"/>
                <w:sz w:val="21"/>
                <w:szCs w:val="21"/>
                <w:lang w:val="en-US" w:eastAsia="zh-CN"/>
              </w:rPr>
              <w:t>3. 顾客满意率达90%以上。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7</w:t>
            </w:r>
            <w:r>
              <w:rPr>
                <w:rFonts w:hint="eastAsia" w:ascii="宋体" w:hAnsi="宋体" w:cs="宋体"/>
                <w:color w:val="000000" w:themeColor="text1"/>
              </w:rPr>
              <w:t>月</w:t>
            </w:r>
            <w:r>
              <w:rPr>
                <w:rFonts w:hint="eastAsia" w:ascii="宋体" w:hAnsi="宋体" w:cs="宋体"/>
                <w:color w:val="000000" w:themeColor="text1"/>
                <w:lang w:val="en-US" w:eastAsia="zh-CN"/>
              </w:rPr>
              <w:t>25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bookmarkStart w:id="21" w:name="_GoBack" w:colFirst="1" w:colLast="1"/>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设备设施（包括信息系统）、</w:t>
            </w:r>
          </w:p>
          <w:p>
            <w:pPr>
              <w:numPr>
                <w:ilvl w:val="0"/>
                <w:numId w:val="0"/>
              </w:numPr>
              <w:ind w:firstLine="210" w:firstLineChars="100"/>
              <w:rPr>
                <w:rFonts w:ascii="宋体" w:hAnsi="宋体"/>
                <w:b/>
                <w:color w:val="000000" w:themeColor="text1"/>
                <w:sz w:val="20"/>
                <w:szCs w:val="20"/>
                <w:highlight w:val="none"/>
              </w:rPr>
            </w:pPr>
            <w:r>
              <w:rPr>
                <w:rFonts w:hint="eastAsia" w:ascii="宋体" w:hAnsi="宋体"/>
                <w:szCs w:val="21"/>
                <w:highlight w:val="none"/>
              </w:rPr>
              <w:t>厂房面积</w:t>
            </w:r>
            <w:r>
              <w:rPr>
                <w:rFonts w:hint="eastAsia" w:ascii="宋体" w:hAnsi="宋体"/>
                <w:szCs w:val="21"/>
                <w:highlight w:val="none"/>
                <w:lang w:val="en-US" w:eastAsia="zh-CN"/>
              </w:rPr>
              <w:t>10</w:t>
            </w:r>
            <w:r>
              <w:rPr>
                <w:rFonts w:hint="eastAsia" w:ascii="宋体" w:hAnsi="宋体"/>
                <w:szCs w:val="21"/>
                <w:highlight w:val="none"/>
              </w:rPr>
              <w:t>00平方米左右，车间、库房分开，办公场所面积</w:t>
            </w:r>
            <w:r>
              <w:rPr>
                <w:rFonts w:hint="eastAsia" w:ascii="宋体" w:hAnsi="宋体"/>
                <w:szCs w:val="21"/>
                <w:highlight w:val="none"/>
                <w:lang w:val="en-US" w:eastAsia="zh-CN"/>
              </w:rPr>
              <w:t>300</w:t>
            </w:r>
            <w:r>
              <w:rPr>
                <w:rFonts w:hint="eastAsia" w:ascii="宋体" w:hAnsi="宋体"/>
                <w:szCs w:val="21"/>
                <w:highlight w:val="none"/>
              </w:rPr>
              <w:t>平方米</w:t>
            </w:r>
            <w:r>
              <w:rPr>
                <w:rFonts w:hint="eastAsia" w:ascii="宋体" w:hAnsi="宋体" w:cs="Times New Roman"/>
                <w:bCs/>
                <w:iCs/>
                <w:highlight w:val="none"/>
              </w:rPr>
              <w:t>.主要生产设备包括</w:t>
            </w:r>
            <w:r>
              <w:rPr>
                <w:rFonts w:hint="eastAsia" w:ascii="宋体" w:hAnsi="宋体" w:cs="Times New Roman"/>
                <w:bCs/>
                <w:iCs/>
                <w:highlight w:val="none"/>
                <w:lang w:eastAsia="zh-CN"/>
              </w:rPr>
              <w:t>：</w:t>
            </w:r>
            <w:r>
              <w:rPr>
                <w:rFonts w:hint="eastAsia"/>
                <w:szCs w:val="22"/>
                <w:highlight w:val="none"/>
              </w:rPr>
              <w:t>木工推台锯</w:t>
            </w:r>
            <w:r>
              <w:rPr>
                <w:rFonts w:hint="eastAsia"/>
                <w:szCs w:val="22"/>
                <w:highlight w:val="none"/>
                <w:lang w:eastAsia="zh-CN"/>
              </w:rPr>
              <w:t>、</w:t>
            </w:r>
            <w:r>
              <w:rPr>
                <w:rFonts w:hint="eastAsia"/>
                <w:szCs w:val="22"/>
                <w:highlight w:val="none"/>
              </w:rPr>
              <w:t>二保焊机</w:t>
            </w:r>
            <w:r>
              <w:rPr>
                <w:rFonts w:hint="eastAsia"/>
                <w:szCs w:val="22"/>
                <w:highlight w:val="none"/>
                <w:lang w:eastAsia="zh-CN"/>
              </w:rPr>
              <w:t>、</w:t>
            </w:r>
            <w:r>
              <w:rPr>
                <w:rFonts w:hint="eastAsia"/>
                <w:szCs w:val="22"/>
                <w:highlight w:val="none"/>
              </w:rPr>
              <w:t>氩弧焊机</w:t>
            </w:r>
            <w:r>
              <w:rPr>
                <w:rFonts w:hint="eastAsia"/>
                <w:szCs w:val="22"/>
                <w:highlight w:val="none"/>
                <w:lang w:eastAsia="zh-CN"/>
              </w:rPr>
              <w:t>、</w:t>
            </w:r>
            <w:r>
              <w:rPr>
                <w:rFonts w:hint="eastAsia"/>
                <w:szCs w:val="22"/>
                <w:highlight w:val="none"/>
              </w:rPr>
              <w:t>切割机</w:t>
            </w:r>
            <w:r>
              <w:rPr>
                <w:rFonts w:hint="eastAsia"/>
                <w:szCs w:val="22"/>
                <w:highlight w:val="none"/>
                <w:lang w:eastAsia="zh-CN"/>
              </w:rPr>
              <w:t>、</w:t>
            </w:r>
            <w:r>
              <w:rPr>
                <w:rFonts w:hint="eastAsia"/>
                <w:szCs w:val="22"/>
                <w:highlight w:val="none"/>
              </w:rPr>
              <w:t>手动电气钻</w:t>
            </w:r>
            <w:r>
              <w:rPr>
                <w:rFonts w:hint="eastAsia"/>
                <w:szCs w:val="22"/>
                <w:highlight w:val="none"/>
                <w:lang w:eastAsia="zh-CN"/>
              </w:rPr>
              <w:t>、</w:t>
            </w:r>
            <w:r>
              <w:rPr>
                <w:rFonts w:hint="eastAsia"/>
                <w:szCs w:val="22"/>
                <w:highlight w:val="none"/>
              </w:rPr>
              <w:t>气动攻丝机</w:t>
            </w:r>
            <w:r>
              <w:rPr>
                <w:rFonts w:hint="eastAsia"/>
                <w:szCs w:val="22"/>
                <w:highlight w:val="none"/>
                <w:lang w:val="en-US" w:eastAsia="zh-CN"/>
              </w:rPr>
              <w:t>等</w:t>
            </w:r>
            <w:r>
              <w:rPr>
                <w:rFonts w:hint="eastAsia" w:ascii="宋体" w:hAnsi="宋体"/>
                <w:bCs/>
                <w:iCs/>
                <w:szCs w:val="22"/>
                <w:highlight w:val="none"/>
                <w:lang w:val="en-US" w:eastAsia="zh-CN"/>
              </w:rPr>
              <w:t>13台套</w:t>
            </w:r>
            <w:r>
              <w:rPr>
                <w:rFonts w:hint="eastAsia" w:ascii="宋体" w:hAnsi="宋体" w:cs="Times New Roman"/>
                <w:szCs w:val="21"/>
                <w:highlight w:val="none"/>
                <w:lang w:val="en-US" w:eastAsia="zh-CN"/>
              </w:rPr>
              <w:t>。</w:t>
            </w:r>
            <w:r>
              <w:rPr>
                <w:rFonts w:hint="eastAsia" w:ascii="宋体" w:hAnsi="宋体" w:cs="Times New Roman"/>
                <w:bCs/>
                <w:iCs/>
                <w:highlight w:val="none"/>
                <w:lang w:eastAsia="zh-CN"/>
              </w:rPr>
              <w:t>可以</w:t>
            </w:r>
            <w:r>
              <w:rPr>
                <w:rFonts w:hint="eastAsia" w:ascii="宋体" w:hAnsi="宋体" w:cs="Times New Roman"/>
                <w:bCs/>
                <w:iCs/>
                <w:highlight w:val="none"/>
              </w:rPr>
              <w:t>满足生产需要。对设备按月方式进行点检维护保养，并实</w:t>
            </w:r>
            <w:r>
              <w:rPr>
                <w:rFonts w:hint="eastAsia" w:ascii="宋体" w:hAnsi="宋体"/>
                <w:bCs/>
                <w:iCs/>
                <w:highlight w:val="none"/>
              </w:rPr>
              <w:t>施。特种设备：</w:t>
            </w:r>
            <w:r>
              <w:rPr>
                <w:rFonts w:hint="eastAsia" w:ascii="宋体" w:hAnsi="宋体"/>
                <w:bCs/>
                <w:iCs/>
                <w:highlight w:val="none"/>
                <w:lang w:val="en-US" w:eastAsia="zh-CN"/>
              </w:rPr>
              <w:t>10T行车1台、储气罐1套</w:t>
            </w: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bookmark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szCs w:val="21"/>
                <w:highlight w:val="none"/>
              </w:rPr>
              <w:t>生产车间及检验部门均按策划的要求配置了相应的检测设备，均采用委外送检的方式</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提供相应的校准证书，详见附件</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w:t>
            </w:r>
            <w:r>
              <w:rPr>
                <w:rFonts w:hint="eastAsia" w:ascii="宋体" w:hAnsi="宋体" w:cs="宋体"/>
                <w:color w:val="000000"/>
                <w:szCs w:val="21"/>
                <w:lang w:val="en-US" w:eastAsia="zh-CN"/>
              </w:rPr>
              <w:t>公司特殊过程为焊接过程，提供特殊过程确认记录。</w:t>
            </w:r>
            <w:r>
              <w:rPr>
                <w:rFonts w:hint="eastAsia" w:ascii="宋体" w:hAnsi="宋体" w:cs="宋体"/>
                <w:color w:val="000000"/>
                <w:szCs w:val="21"/>
              </w:rPr>
              <w:t>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0" w:firstLineChars="50"/>
              <w:jc w:val="left"/>
              <w:rPr>
                <w:rFonts w:hint="default" w:eastAsia="宋体"/>
                <w:b/>
                <w:color w:val="000000" w:themeColor="text1"/>
                <w:sz w:val="20"/>
                <w:szCs w:val="20"/>
                <w:lang w:val="en-US" w:eastAsia="zh-CN"/>
              </w:rPr>
            </w:pPr>
            <w:r>
              <w:rPr>
                <w:rFonts w:hint="eastAsia"/>
                <w:b/>
                <w:sz w:val="20"/>
                <w:szCs w:val="20"/>
              </w:rPr>
              <w:t>特种设备</w:t>
            </w:r>
            <w:r>
              <w:rPr>
                <w:rFonts w:hint="eastAsia"/>
                <w:b/>
                <w:sz w:val="20"/>
                <w:szCs w:val="20"/>
                <w:lang w:eastAsia="zh-CN"/>
              </w:rPr>
              <w:t>：</w:t>
            </w:r>
            <w:r>
              <w:rPr>
                <w:rFonts w:hint="eastAsia"/>
                <w:b/>
                <w:sz w:val="20"/>
                <w:szCs w:val="20"/>
                <w:lang w:val="en-US" w:eastAsia="zh-CN"/>
              </w:rPr>
              <w:t>10T行车一台，储气罐一套。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w:t>
            </w:r>
            <w:r>
              <w:rPr>
                <w:rFonts w:hint="eastAsia" w:ascii="宋体" w:hAnsi="宋体" w:cs="宋体"/>
                <w:color w:val="000000"/>
                <w:szCs w:val="21"/>
                <w:highlight w:val="none"/>
              </w:rPr>
              <w:t>得到沟通和监视评价，通过数据的汇总统计、描述性统计等方法对目标进行了测量，总体已达到或超过了规定的目标值。通过20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w:t>
            </w:r>
            <w:r>
              <w:rPr>
                <w:rFonts w:hint="eastAsia" w:ascii="宋体" w:hAnsi="宋体" w:cs="宋体"/>
                <w:color w:val="000000"/>
                <w:szCs w:val="21"/>
                <w:highlight w:val="none"/>
              </w:rPr>
              <w:t>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99%</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3.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
                <w:color w:val="FF0000"/>
                <w:sz w:val="20"/>
                <w:szCs w:val="20"/>
                <w:highlight w:val="none"/>
              </w:rPr>
            </w:pPr>
            <w:r>
              <w:rPr>
                <w:rFonts w:hint="eastAsia" w:ascii="宋体" w:hAnsi="宋体" w:cs="宋体"/>
                <w:color w:val="000000"/>
                <w:szCs w:val="21"/>
                <w:highlight w:val="none"/>
              </w:rPr>
              <w:t>建立有《内部审核控制程序》，规定了内审频次一年一次，内审时间：2020年9月20日，拟定了审核实施表，明确了内审范围，内审人员经培训合格上岗，能力满足要求，未出现审核本部门情况，内审不符合项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项， 涉及</w:t>
            </w:r>
            <w:r>
              <w:rPr>
                <w:rFonts w:hint="eastAsia" w:ascii="宋体" w:hAnsi="宋体" w:cs="宋体"/>
                <w:color w:val="000000"/>
                <w:szCs w:val="21"/>
                <w:highlight w:val="none"/>
                <w:lang w:eastAsia="zh-CN"/>
              </w:rPr>
              <w:t>经营部</w:t>
            </w:r>
            <w:r>
              <w:rPr>
                <w:rFonts w:hint="eastAsia" w:ascii="宋体" w:hAnsi="宋体" w:cs="宋体"/>
                <w:color w:val="000000"/>
                <w:szCs w:val="21"/>
                <w:highlight w:val="none"/>
                <w:lang w:val="en-US" w:eastAsia="zh-CN"/>
              </w:rPr>
              <w:t>不符合</w:t>
            </w:r>
            <w:r>
              <w:rPr>
                <w:rFonts w:hint="eastAsia" w:ascii="宋体" w:hAnsi="宋体" w:cs="宋体"/>
                <w:color w:val="000000"/>
                <w:szCs w:val="21"/>
                <w:highlight w:val="none"/>
              </w:rPr>
              <w:t>标准</w:t>
            </w:r>
            <w:r>
              <w:rPr>
                <w:rFonts w:hint="eastAsia" w:ascii="宋体" w:hAnsi="宋体" w:cs="宋体"/>
                <w:color w:val="000000"/>
                <w:szCs w:val="21"/>
                <w:highlight w:val="none"/>
                <w:lang w:val="en-US" w:eastAsia="zh-CN"/>
              </w:rPr>
              <w:t>9.1.2</w:t>
            </w:r>
            <w:r>
              <w:rPr>
                <w:rFonts w:hint="eastAsia" w:ascii="宋体" w:hAnsi="宋体" w:cs="宋体"/>
                <w:color w:val="000000"/>
                <w:szCs w:val="21"/>
                <w:highlight w:val="none"/>
              </w:rPr>
              <w:t>条款</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4.管理评审（管理评审体系变更需求，纠正和预防措施、体系有效性等）</w:t>
            </w:r>
          </w:p>
          <w:p>
            <w:pPr>
              <w:spacing w:line="240" w:lineRule="exact"/>
              <w:ind w:firstLine="420" w:firstLineChars="200"/>
              <w:rPr>
                <w:b/>
                <w:color w:val="000000" w:themeColor="text1"/>
                <w:sz w:val="20"/>
                <w:szCs w:val="20"/>
                <w:highlight w:val="none"/>
              </w:rPr>
            </w:pPr>
            <w:r>
              <w:rPr>
                <w:rFonts w:hint="eastAsia" w:ascii="宋体" w:hAnsi="宋体" w:cs="宋体"/>
                <w:szCs w:val="21"/>
                <w:highlight w:val="none"/>
              </w:rPr>
              <w:t>管理评审频次为一年一次、本次管理评审于2020年9月28日由总经理主持完成、提供主要输入材料有各部门总结，输入信息基本充分和满足要求。输出见“管理评审报告”,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1"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rPr>
              <w:t xml:space="preserve">冷藏保温箱体及配件的生产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default" w:eastAsia="宋体"/>
          <w:b/>
          <w:color w:val="000000" w:themeColor="text1"/>
          <w:sz w:val="16"/>
          <w:szCs w:val="1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ascii="Times New Roman" w:hAnsi="Times New Roman" w:cs="Times New Roman"/>
          <w:b/>
          <w:color w:val="000000" w:themeColor="text1"/>
          <w:lang w:val="en-US" w:eastAsia="zh-CN"/>
        </w:rPr>
        <w:t>由于疫情影响，本次为远程审核1.5人日，补充现场留0.5人日。</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76672" behindDoc="0" locked="0" layoutInCell="1" allowOverlap="1">
            <wp:simplePos x="0" y="0"/>
            <wp:positionH relativeFrom="column">
              <wp:posOffset>1769745</wp:posOffset>
            </wp:positionH>
            <wp:positionV relativeFrom="paragraph">
              <wp:posOffset>372745</wp:posOffset>
            </wp:positionV>
            <wp:extent cx="473710" cy="334645"/>
            <wp:effectExtent l="0" t="0" r="2540" b="7620"/>
            <wp:wrapSquare wrapText="bothSides"/>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签名"/>
                    <pic:cNvPicPr>
                      <a:picLocks noChangeAspect="1"/>
                    </pic:cNvPicPr>
                  </pic:nvPicPr>
                  <pic:blipFill>
                    <a:blip r:embed="rId6"/>
                    <a:stretch>
                      <a:fillRect/>
                    </a:stretch>
                  </pic:blipFill>
                  <pic:spPr>
                    <a:xfrm>
                      <a:off x="0" y="0"/>
                      <a:ext cx="473710" cy="33464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5186" w:firstLineChars="2460"/>
        <w:rPr>
          <w:rFonts w:hint="default" w:eastAsia="宋体"/>
          <w:b/>
          <w:color w:val="000000" w:themeColor="text1"/>
          <w:sz w:val="16"/>
          <w:szCs w:val="16"/>
          <w:lang w:val="en-US" w:eastAsia="zh-CN"/>
        </w:rPr>
      </w:pPr>
      <w:r>
        <w:rPr>
          <w:rFonts w:hint="eastAsia"/>
          <w:b/>
          <w:color w:val="000000" w:themeColor="text1"/>
        </w:rPr>
        <w:t>日期</w:t>
      </w:r>
      <w:r>
        <w:rPr>
          <w:rFonts w:hint="eastAsia" w:asciiTheme="minorEastAsia" w:hAnsiTheme="minorEastAsia" w:eastAsiaTheme="minorEastAsia"/>
          <w:b/>
          <w:color w:val="000000" w:themeColor="text1"/>
          <w:lang w:eastAsia="zh-CN"/>
        </w:rPr>
        <w:t>：</w:t>
      </w:r>
      <w:r>
        <w:rPr>
          <w:rFonts w:hint="eastAsia" w:asciiTheme="minorEastAsia" w:hAnsiTheme="minorEastAsia" w:eastAsiaTheme="minorEastAsia"/>
          <w:b/>
          <w:color w:val="000000" w:themeColor="text1"/>
          <w:lang w:val="en-US" w:eastAsia="zh-CN"/>
        </w:rPr>
        <w:t>2020年12月11日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96128" behindDoc="0" locked="0" layoutInCell="1" allowOverlap="1">
            <wp:simplePos x="0" y="0"/>
            <wp:positionH relativeFrom="column">
              <wp:posOffset>721995</wp:posOffset>
            </wp:positionH>
            <wp:positionV relativeFrom="paragraph">
              <wp:posOffset>89535</wp:posOffset>
            </wp:positionV>
            <wp:extent cx="473710" cy="334645"/>
            <wp:effectExtent l="0" t="0" r="2540" b="7620"/>
            <wp:wrapSquare wrapText="bothSides"/>
            <wp:docPr id="4" name="图片 4"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李林签名"/>
                    <pic:cNvPicPr>
                      <a:picLocks noChangeAspect="1"/>
                    </pic:cNvPicPr>
                  </pic:nvPicPr>
                  <pic:blipFill>
                    <a:blip r:embed="rId6"/>
                    <a:stretch>
                      <a:fillRect/>
                    </a:stretch>
                  </pic:blipFill>
                  <pic:spPr>
                    <a:xfrm>
                      <a:off x="0" y="0"/>
                      <a:ext cx="473710" cy="334645"/>
                    </a:xfrm>
                    <a:prstGeom prst="rect">
                      <a:avLst/>
                    </a:prstGeom>
                  </pic:spPr>
                </pic:pic>
              </a:graphicData>
            </a:graphic>
          </wp:anchor>
        </w:drawing>
      </w:r>
      <w:r>
        <w:rPr>
          <w:rFonts w:hint="eastAsia"/>
          <w:b/>
          <w:color w:val="000000" w:themeColor="text1"/>
          <w:szCs w:val="21"/>
        </w:rPr>
        <w:t xml:space="preserve">组长签字:                               </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0"/>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CED4CA"/>
    <w:multiLevelType w:val="singleLevel"/>
    <w:tmpl w:val="DACED4CA"/>
    <w:lvl w:ilvl="0" w:tentative="0">
      <w:start w:val="1"/>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4E1ABD"/>
    <w:rsid w:val="0D521148"/>
    <w:rsid w:val="0E114363"/>
    <w:rsid w:val="17540E3A"/>
    <w:rsid w:val="19A702F5"/>
    <w:rsid w:val="1A3D7EAA"/>
    <w:rsid w:val="1A9F1D9B"/>
    <w:rsid w:val="26A65A18"/>
    <w:rsid w:val="286B312C"/>
    <w:rsid w:val="2CDF7B24"/>
    <w:rsid w:val="2DC57686"/>
    <w:rsid w:val="2DC86560"/>
    <w:rsid w:val="30D057F0"/>
    <w:rsid w:val="346C754B"/>
    <w:rsid w:val="393E1E35"/>
    <w:rsid w:val="3B4638C8"/>
    <w:rsid w:val="3D8F110B"/>
    <w:rsid w:val="3DD11DC0"/>
    <w:rsid w:val="404A1ABB"/>
    <w:rsid w:val="45E92942"/>
    <w:rsid w:val="47815B55"/>
    <w:rsid w:val="49CD6780"/>
    <w:rsid w:val="4E70079F"/>
    <w:rsid w:val="4ECC378C"/>
    <w:rsid w:val="4FCA0E2A"/>
    <w:rsid w:val="572D5B02"/>
    <w:rsid w:val="5B820F4B"/>
    <w:rsid w:val="5E992491"/>
    <w:rsid w:val="60915C13"/>
    <w:rsid w:val="60FC17AD"/>
    <w:rsid w:val="648A5E83"/>
    <w:rsid w:val="6928311F"/>
    <w:rsid w:val="6AC329EA"/>
    <w:rsid w:val="6DF05896"/>
    <w:rsid w:val="6E321491"/>
    <w:rsid w:val="6EC555F2"/>
    <w:rsid w:val="76567632"/>
    <w:rsid w:val="76C00515"/>
    <w:rsid w:val="7F8E5B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2020-12-22T04:41:46Z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