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093"/>
        <w:gridCol w:w="654"/>
        <w:gridCol w:w="899"/>
        <w:gridCol w:w="6"/>
        <w:gridCol w:w="567"/>
        <w:gridCol w:w="1158"/>
        <w:gridCol w:w="84"/>
        <w:gridCol w:w="75"/>
        <w:gridCol w:w="101"/>
        <w:gridCol w:w="589"/>
        <w:gridCol w:w="261"/>
        <w:gridCol w:w="257"/>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6"/>
            <w:vAlign w:val="center"/>
          </w:tcPr>
          <w:p>
            <w:pPr>
              <w:rPr>
                <w:sz w:val="21"/>
                <w:szCs w:val="21"/>
              </w:rPr>
            </w:pPr>
            <w:bookmarkStart w:id="0" w:name="组织名称"/>
            <w:r>
              <w:rPr>
                <w:sz w:val="21"/>
                <w:szCs w:val="21"/>
              </w:rPr>
              <w:t>森蓝环保科技（重庆）有限公司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6"/>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重庆市江北区鹞子丘路68号2幢15-15</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1485" w:type="dxa"/>
            <w:gridSpan w:val="3"/>
            <w:vAlign w:val="center"/>
          </w:tcPr>
          <w:p>
            <w:pPr>
              <w:rPr>
                <w:sz w:val="21"/>
                <w:szCs w:val="21"/>
              </w:rPr>
            </w:pPr>
            <w:r>
              <w:rPr>
                <w:rFonts w:hint="eastAsia"/>
                <w:sz w:val="21"/>
                <w:szCs w:val="21"/>
              </w:rPr>
              <w:t>联系人</w:t>
            </w:r>
          </w:p>
        </w:tc>
        <w:tc>
          <w:tcPr>
            <w:tcW w:w="3347" w:type="dxa"/>
            <w:gridSpan w:val="5"/>
            <w:vAlign w:val="center"/>
          </w:tcPr>
          <w:p>
            <w:pPr>
              <w:rPr>
                <w:sz w:val="21"/>
                <w:szCs w:val="21"/>
              </w:rPr>
            </w:pPr>
            <w:bookmarkStart w:id="2" w:name="联系人"/>
            <w:r>
              <w:rPr>
                <w:sz w:val="21"/>
                <w:szCs w:val="21"/>
              </w:rPr>
              <w:t>何振华</w:t>
            </w:r>
            <w:bookmarkEnd w:id="2"/>
          </w:p>
        </w:tc>
        <w:tc>
          <w:tcPr>
            <w:tcW w:w="899" w:type="dxa"/>
            <w:vAlign w:val="center"/>
          </w:tcPr>
          <w:p>
            <w:pPr>
              <w:rPr>
                <w:sz w:val="21"/>
                <w:szCs w:val="21"/>
              </w:rPr>
            </w:pPr>
            <w:r>
              <w:rPr>
                <w:rFonts w:hint="eastAsia"/>
                <w:sz w:val="21"/>
                <w:szCs w:val="21"/>
              </w:rPr>
              <w:t>联系电话</w:t>
            </w:r>
          </w:p>
        </w:tc>
        <w:tc>
          <w:tcPr>
            <w:tcW w:w="1815" w:type="dxa"/>
            <w:gridSpan w:val="4"/>
            <w:vAlign w:val="center"/>
          </w:tcPr>
          <w:p>
            <w:pPr>
              <w:rPr>
                <w:sz w:val="21"/>
                <w:szCs w:val="21"/>
              </w:rPr>
            </w:pPr>
            <w:bookmarkStart w:id="3" w:name="联系人电话"/>
            <w:r>
              <w:rPr>
                <w:sz w:val="21"/>
                <w:szCs w:val="21"/>
              </w:rPr>
              <w:t>18983922721</w:t>
            </w:r>
            <w:bookmarkEnd w:id="3"/>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bookmarkStart w:id="4" w:name="生产邮编"/>
            <w:r>
              <w:rPr>
                <w:sz w:val="21"/>
                <w:szCs w:val="21"/>
              </w:rPr>
              <w:t>400021</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r>
              <w:rPr>
                <w:rFonts w:hint="eastAsia"/>
              </w:rPr>
              <w:t>最高管理者</w:t>
            </w:r>
          </w:p>
        </w:tc>
        <w:tc>
          <w:tcPr>
            <w:tcW w:w="3347" w:type="dxa"/>
            <w:gridSpan w:val="5"/>
            <w:vAlign w:val="center"/>
          </w:tcPr>
          <w:p>
            <w:bookmarkStart w:id="5" w:name="最高管理者"/>
            <w:bookmarkEnd w:id="5"/>
            <w:r>
              <w:rPr>
                <w:sz w:val="21"/>
                <w:szCs w:val="21"/>
              </w:rPr>
              <w:t>何振华</w:t>
            </w:r>
          </w:p>
        </w:tc>
        <w:tc>
          <w:tcPr>
            <w:tcW w:w="899" w:type="dxa"/>
            <w:vAlign w:val="center"/>
          </w:tcPr>
          <w:p>
            <w:pPr>
              <w:rPr>
                <w:sz w:val="21"/>
                <w:szCs w:val="21"/>
              </w:rPr>
            </w:pPr>
            <w:r>
              <w:rPr>
                <w:rFonts w:hint="eastAsia"/>
                <w:sz w:val="21"/>
                <w:szCs w:val="21"/>
              </w:rPr>
              <w:t>传真</w:t>
            </w:r>
          </w:p>
        </w:tc>
        <w:tc>
          <w:tcPr>
            <w:tcW w:w="1815" w:type="dxa"/>
            <w:gridSpan w:val="4"/>
            <w:vAlign w:val="center"/>
          </w:tcPr>
          <w:p>
            <w:bookmarkStart w:id="6" w:name="联系人传真"/>
            <w:bookmarkEnd w:id="6"/>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bookmarkStart w:id="7" w:name="联系人邮箱"/>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3347" w:type="dxa"/>
            <w:gridSpan w:val="5"/>
            <w:vAlign w:val="center"/>
          </w:tcPr>
          <w:p>
            <w:pPr>
              <w:rPr>
                <w:sz w:val="20"/>
              </w:rPr>
            </w:pPr>
            <w:bookmarkStart w:id="8" w:name="合同编号"/>
            <w:r>
              <w:rPr>
                <w:sz w:val="20"/>
              </w:rPr>
              <w:t>0072-2020-QEO</w:t>
            </w:r>
            <w:bookmarkEnd w:id="8"/>
          </w:p>
        </w:tc>
        <w:tc>
          <w:tcPr>
            <w:tcW w:w="905" w:type="dxa"/>
            <w:gridSpan w:val="2"/>
            <w:vAlign w:val="center"/>
          </w:tcPr>
          <w:p>
            <w:pPr>
              <w:rPr>
                <w:sz w:val="20"/>
              </w:rPr>
            </w:pPr>
            <w:r>
              <w:rPr>
                <w:rFonts w:hint="eastAsia"/>
                <w:b/>
                <w:sz w:val="20"/>
              </w:rPr>
              <w:t>审核领域</w:t>
            </w:r>
          </w:p>
        </w:tc>
        <w:tc>
          <w:tcPr>
            <w:tcW w:w="4584" w:type="dxa"/>
            <w:gridSpan w:val="9"/>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rFonts w:hint="default" w:eastAsia="宋体"/>
                <w:sz w:val="20"/>
                <w:lang w:val="en-US" w:eastAsia="zh-CN"/>
              </w:rPr>
            </w:pPr>
            <w:bookmarkStart w:id="12" w:name="审核类型ZB"/>
            <w:bookmarkEnd w:id="12"/>
            <w:r>
              <w:rPr>
                <w:rFonts w:hint="eastAsia"/>
                <w:b/>
                <w:sz w:val="20"/>
                <w:szCs w:val="22"/>
                <w:lang w:val="en-US" w:eastAsia="zh-CN"/>
              </w:rPr>
              <w:t>补充审核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lang w:eastAsia="zh-CN"/>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lang w:eastAsia="zh-CN"/>
              </w:rPr>
              <w:t>■</w:t>
            </w: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1"/>
            <w:vAlign w:val="center"/>
          </w:tcPr>
          <w:p>
            <w:pPr>
              <w:rPr>
                <w:sz w:val="20"/>
              </w:rPr>
            </w:pPr>
            <w:bookmarkStart w:id="13" w:name="审核范围"/>
            <w:r>
              <w:rPr>
                <w:sz w:val="20"/>
              </w:rPr>
              <w:t>Q：计算机软件开发及信息系统集成</w:t>
            </w:r>
          </w:p>
          <w:p>
            <w:pPr>
              <w:rPr>
                <w:sz w:val="20"/>
              </w:rPr>
            </w:pPr>
            <w:r>
              <w:rPr>
                <w:sz w:val="20"/>
              </w:rPr>
              <w:t>E：计算机软件开发及信息系统集成所涉及的相关环境管理活动</w:t>
            </w:r>
          </w:p>
          <w:p>
            <w:pPr>
              <w:rPr>
                <w:sz w:val="20"/>
              </w:rPr>
            </w:pPr>
            <w:r>
              <w:rPr>
                <w:sz w:val="20"/>
              </w:rPr>
              <w:t>O：计算机软件开发及信息系统集成所涉及的相关职业健康安全管理活动</w:t>
            </w:r>
            <w:bookmarkEnd w:id="13"/>
          </w:p>
        </w:tc>
        <w:tc>
          <w:tcPr>
            <w:tcW w:w="951" w:type="dxa"/>
            <w:gridSpan w:val="3"/>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4" w:name="专业代码"/>
            <w:r>
              <w:rPr>
                <w:sz w:val="20"/>
              </w:rPr>
              <w:t>Q：33.02.01;33.02.02</w:t>
            </w:r>
          </w:p>
          <w:p>
            <w:pPr>
              <w:rPr>
                <w:sz w:val="20"/>
              </w:rPr>
            </w:pPr>
            <w:r>
              <w:rPr>
                <w:sz w:val="20"/>
              </w:rPr>
              <w:t>E：33.02.01;33.02.02</w:t>
            </w:r>
          </w:p>
          <w:p>
            <w:pPr>
              <w:rPr>
                <w:sz w:val="20"/>
              </w:rPr>
            </w:pPr>
            <w:r>
              <w:rPr>
                <w:sz w:val="20"/>
              </w:rPr>
              <w:t>O：33.02.01;33.02.02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Q：GB/T19001-2016/ISO9001:2015,E：GB/T 24001-2016/ISO14001:2015,O：ISO 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2020年12月10日 下午至2020年12月10日 下午 (共0.5天)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747" w:type="dxa"/>
            <w:gridSpan w:val="2"/>
            <w:vAlign w:val="center"/>
          </w:tcPr>
          <w:p>
            <w:pPr>
              <w:jc w:val="center"/>
              <w:rPr>
                <w:sz w:val="20"/>
              </w:rPr>
            </w:pPr>
            <w:r>
              <w:rPr>
                <w:rFonts w:hint="eastAsia"/>
                <w:sz w:val="20"/>
              </w:rPr>
              <w:t>注册资格</w:t>
            </w:r>
          </w:p>
        </w:tc>
        <w:tc>
          <w:tcPr>
            <w:tcW w:w="2630" w:type="dxa"/>
            <w:gridSpan w:val="4"/>
            <w:vAlign w:val="center"/>
          </w:tcPr>
          <w:p>
            <w:pPr>
              <w:jc w:val="center"/>
              <w:rPr>
                <w:sz w:val="20"/>
              </w:rPr>
            </w:pPr>
            <w:r>
              <w:rPr>
                <w:rFonts w:hint="eastAsia"/>
                <w:sz w:val="20"/>
              </w:rPr>
              <w:t>专业代码</w:t>
            </w:r>
          </w:p>
        </w:tc>
        <w:tc>
          <w:tcPr>
            <w:tcW w:w="1367" w:type="dxa"/>
            <w:gridSpan w:val="6"/>
            <w:vAlign w:val="center"/>
          </w:tcPr>
          <w:p>
            <w:pPr>
              <w:jc w:val="center"/>
              <w:rPr>
                <w:sz w:val="20"/>
              </w:rPr>
            </w:pPr>
            <w:r>
              <w:rPr>
                <w:rFonts w:hint="eastAsia"/>
                <w:sz w:val="20"/>
              </w:rPr>
              <w:t>联系电话</w:t>
            </w:r>
          </w:p>
        </w:tc>
        <w:tc>
          <w:tcPr>
            <w:tcW w:w="1492"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杨珍全</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男</w:t>
            </w:r>
          </w:p>
        </w:tc>
        <w:tc>
          <w:tcPr>
            <w:tcW w:w="1747"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2630" w:type="dxa"/>
            <w:gridSpan w:val="4"/>
            <w:vAlign w:val="center"/>
          </w:tcPr>
          <w:p>
            <w:pPr>
              <w:jc w:val="center"/>
              <w:rPr>
                <w:sz w:val="20"/>
              </w:rPr>
            </w:pPr>
            <w:r>
              <w:rPr>
                <w:sz w:val="20"/>
              </w:rPr>
              <w:t>Q:33.02.01,33.02.02</w:t>
            </w:r>
          </w:p>
          <w:p>
            <w:pPr>
              <w:jc w:val="center"/>
              <w:rPr>
                <w:sz w:val="20"/>
              </w:rPr>
            </w:pPr>
            <w:r>
              <w:rPr>
                <w:sz w:val="20"/>
              </w:rPr>
              <w:t>E:33.02.01,33.02.02</w:t>
            </w:r>
          </w:p>
          <w:p>
            <w:pPr>
              <w:jc w:val="center"/>
              <w:rPr>
                <w:sz w:val="20"/>
              </w:rPr>
            </w:pPr>
            <w:r>
              <w:rPr>
                <w:sz w:val="20"/>
              </w:rPr>
              <w:t>O:33.02.01,33.02.02</w:t>
            </w:r>
          </w:p>
        </w:tc>
        <w:tc>
          <w:tcPr>
            <w:tcW w:w="1367" w:type="dxa"/>
            <w:gridSpan w:val="6"/>
            <w:vAlign w:val="center"/>
          </w:tcPr>
          <w:p>
            <w:pPr>
              <w:jc w:val="center"/>
              <w:rPr>
                <w:sz w:val="20"/>
              </w:rPr>
            </w:pPr>
            <w:r>
              <w:rPr>
                <w:sz w:val="20"/>
              </w:rPr>
              <w:t>13883847833</w:t>
            </w:r>
          </w:p>
        </w:tc>
        <w:tc>
          <w:tcPr>
            <w:tcW w:w="1492" w:type="dxa"/>
            <w:vAlign w:val="center"/>
          </w:tcPr>
          <w:p>
            <w:pPr>
              <w:jc w:val="center"/>
              <w:rPr>
                <w:sz w:val="20"/>
              </w:rPr>
            </w:pPr>
            <w:r>
              <w:rPr>
                <w:sz w:val="20"/>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陈伟</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1747" w:type="dxa"/>
            <w:gridSpan w:val="2"/>
            <w:vAlign w:val="center"/>
          </w:tcPr>
          <w:p>
            <w:pPr>
              <w:jc w:val="center"/>
              <w:rPr>
                <w:sz w:val="20"/>
              </w:rPr>
            </w:pPr>
            <w:r>
              <w:rPr>
                <w:sz w:val="20"/>
              </w:rPr>
              <w:t>Q:审核员</w:t>
            </w:r>
          </w:p>
          <w:p>
            <w:pPr>
              <w:jc w:val="center"/>
              <w:rPr>
                <w:sz w:val="20"/>
              </w:rPr>
            </w:pPr>
            <w:r>
              <w:rPr>
                <w:sz w:val="20"/>
              </w:rPr>
              <w:t>E:实习审核员</w:t>
            </w:r>
          </w:p>
        </w:tc>
        <w:tc>
          <w:tcPr>
            <w:tcW w:w="2630" w:type="dxa"/>
            <w:gridSpan w:val="4"/>
            <w:vAlign w:val="center"/>
          </w:tcPr>
          <w:p>
            <w:pPr>
              <w:jc w:val="center"/>
              <w:rPr>
                <w:sz w:val="20"/>
              </w:rPr>
            </w:pPr>
          </w:p>
        </w:tc>
        <w:tc>
          <w:tcPr>
            <w:tcW w:w="1367" w:type="dxa"/>
            <w:gridSpan w:val="6"/>
            <w:vAlign w:val="center"/>
          </w:tcPr>
          <w:p>
            <w:pPr>
              <w:jc w:val="center"/>
              <w:rPr>
                <w:sz w:val="20"/>
              </w:rPr>
            </w:pPr>
            <w:r>
              <w:rPr>
                <w:sz w:val="20"/>
              </w:rPr>
              <w:t>18244225770</w:t>
            </w:r>
          </w:p>
        </w:tc>
        <w:tc>
          <w:tcPr>
            <w:tcW w:w="1492" w:type="dxa"/>
            <w:vAlign w:val="center"/>
          </w:tcPr>
          <w:p>
            <w:pPr>
              <w:jc w:val="center"/>
              <w:rPr>
                <w:sz w:val="20"/>
              </w:rPr>
            </w:pPr>
            <w:r>
              <w:rPr>
                <w:sz w:val="20"/>
              </w:rPr>
              <w:t>ISC-265256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1242" w:type="dxa"/>
            <w:gridSpan w:val="2"/>
            <w:vAlign w:val="center"/>
          </w:tcPr>
          <w:p>
            <w:pPr>
              <w:jc w:val="center"/>
              <w:rPr>
                <w:sz w:val="20"/>
              </w:rPr>
            </w:pPr>
            <w:r>
              <w:rPr>
                <w:sz w:val="20"/>
              </w:rPr>
              <w:t>余家龙</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1747" w:type="dxa"/>
            <w:gridSpan w:val="2"/>
            <w:vAlign w:val="center"/>
          </w:tcPr>
          <w:p>
            <w:pPr>
              <w:jc w:val="center"/>
              <w:rPr>
                <w:sz w:val="20"/>
              </w:rPr>
            </w:pPr>
            <w:r>
              <w:rPr>
                <w:sz w:val="20"/>
              </w:rPr>
              <w:t>Q:审核员</w:t>
            </w:r>
          </w:p>
          <w:p>
            <w:pPr>
              <w:jc w:val="center"/>
              <w:rPr>
                <w:sz w:val="20"/>
              </w:rPr>
            </w:pPr>
            <w:r>
              <w:rPr>
                <w:sz w:val="20"/>
              </w:rPr>
              <w:t>E:审核员</w:t>
            </w:r>
          </w:p>
        </w:tc>
        <w:tc>
          <w:tcPr>
            <w:tcW w:w="2630" w:type="dxa"/>
            <w:gridSpan w:val="4"/>
            <w:vAlign w:val="center"/>
          </w:tcPr>
          <w:p>
            <w:pPr>
              <w:jc w:val="center"/>
              <w:rPr>
                <w:sz w:val="20"/>
              </w:rPr>
            </w:pPr>
            <w:r>
              <w:rPr>
                <w:sz w:val="20"/>
              </w:rPr>
              <w:t>Q:33.02.01</w:t>
            </w:r>
          </w:p>
          <w:p>
            <w:pPr>
              <w:jc w:val="center"/>
              <w:rPr>
                <w:sz w:val="20"/>
              </w:rPr>
            </w:pPr>
            <w:r>
              <w:rPr>
                <w:sz w:val="20"/>
              </w:rPr>
              <w:t>E:33.02.01</w:t>
            </w:r>
          </w:p>
        </w:tc>
        <w:tc>
          <w:tcPr>
            <w:tcW w:w="1367" w:type="dxa"/>
            <w:gridSpan w:val="6"/>
            <w:vAlign w:val="center"/>
          </w:tcPr>
          <w:p>
            <w:pPr>
              <w:jc w:val="center"/>
              <w:rPr>
                <w:sz w:val="20"/>
              </w:rPr>
            </w:pPr>
            <w:r>
              <w:rPr>
                <w:sz w:val="20"/>
              </w:rPr>
              <w:t>15181072354 17709081193</w:t>
            </w:r>
          </w:p>
        </w:tc>
        <w:tc>
          <w:tcPr>
            <w:tcW w:w="1492" w:type="dxa"/>
            <w:vAlign w:val="center"/>
          </w:tcPr>
          <w:p>
            <w:pPr>
              <w:jc w:val="center"/>
              <w:rPr>
                <w:sz w:val="20"/>
              </w:rPr>
            </w:pPr>
            <w:r>
              <w:rPr>
                <w:sz w:val="20"/>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42" w:type="dxa"/>
            <w:gridSpan w:val="2"/>
            <w:vAlign w:val="center"/>
          </w:tcPr>
          <w:p>
            <w:pPr>
              <w:rPr>
                <w:sz w:val="20"/>
              </w:rPr>
            </w:pPr>
          </w:p>
        </w:tc>
        <w:tc>
          <w:tcPr>
            <w:tcW w:w="1134" w:type="dxa"/>
            <w:gridSpan w:val="2"/>
            <w:vAlign w:val="center"/>
          </w:tcPr>
          <w:p>
            <w:pPr>
              <w:rPr>
                <w:sz w:val="20"/>
              </w:rPr>
            </w:pPr>
          </w:p>
        </w:tc>
        <w:tc>
          <w:tcPr>
            <w:tcW w:w="709" w:type="dxa"/>
            <w:gridSpan w:val="2"/>
            <w:vAlign w:val="center"/>
          </w:tcPr>
          <w:p>
            <w:pPr>
              <w:rPr>
                <w:sz w:val="20"/>
              </w:rPr>
            </w:pPr>
          </w:p>
        </w:tc>
        <w:tc>
          <w:tcPr>
            <w:tcW w:w="1747" w:type="dxa"/>
            <w:gridSpan w:val="2"/>
            <w:vAlign w:val="center"/>
          </w:tcPr>
          <w:p>
            <w:pPr>
              <w:rPr>
                <w:sz w:val="20"/>
              </w:rPr>
            </w:pPr>
          </w:p>
        </w:tc>
        <w:tc>
          <w:tcPr>
            <w:tcW w:w="2630" w:type="dxa"/>
            <w:gridSpan w:val="4"/>
            <w:vAlign w:val="center"/>
          </w:tcPr>
          <w:p>
            <w:pPr>
              <w:rPr>
                <w:sz w:val="20"/>
              </w:rPr>
            </w:pPr>
          </w:p>
        </w:tc>
        <w:tc>
          <w:tcPr>
            <w:tcW w:w="1367" w:type="dxa"/>
            <w:gridSpan w:val="6"/>
            <w:vAlign w:val="center"/>
          </w:tcPr>
          <w:p>
            <w:pPr>
              <w:rPr>
                <w:sz w:val="20"/>
              </w:rPr>
            </w:pPr>
          </w:p>
        </w:tc>
        <w:tc>
          <w:tcPr>
            <w:tcW w:w="1492" w:type="dxa"/>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jc w:val="center"/>
              <w:rPr>
                <w:rFonts w:ascii="Times New Roman" w:hAnsi="Times New Roman" w:eastAsia="宋体" w:cs="Times New Roman"/>
                <w:kern w:val="2"/>
                <w:sz w:val="20"/>
                <w:lang w:val="en-US" w:eastAsia="zh-CN" w:bidi="ar-SA"/>
              </w:rPr>
            </w:pPr>
            <w:r>
              <w:rPr>
                <w:sz w:val="20"/>
              </w:rPr>
              <w:t>杨珍全</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4"/>
            <w:vMerge w:val="restart"/>
            <w:vAlign w:val="center"/>
          </w:tcPr>
          <w:p>
            <w:pPr>
              <w:jc w:val="center"/>
              <w:rPr>
                <w:rFonts w:hint="default" w:eastAsia="宋体"/>
                <w:sz w:val="20"/>
                <w:lang w:val="en-US" w:eastAsia="zh-CN"/>
              </w:rPr>
            </w:pPr>
            <w:r>
              <w:rPr>
                <w:rFonts w:hint="eastAsia"/>
                <w:sz w:val="20"/>
                <w:lang w:val="en-US" w:eastAsia="zh-CN"/>
              </w:rPr>
              <w:t>李永忠</w:t>
            </w: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jc w:val="center"/>
              <w:rPr>
                <w:rFonts w:ascii="Times New Roman" w:hAnsi="Times New Roman" w:eastAsia="宋体" w:cs="Times New Roman"/>
                <w:kern w:val="2"/>
                <w:sz w:val="20"/>
                <w:lang w:val="en-US" w:eastAsia="zh-CN" w:bidi="ar-SA"/>
              </w:rPr>
            </w:pPr>
            <w:r>
              <w:rPr>
                <w:sz w:val="20"/>
              </w:rPr>
              <w:t>13883847833</w:t>
            </w:r>
          </w:p>
        </w:tc>
        <w:tc>
          <w:tcPr>
            <w:tcW w:w="1134" w:type="dxa"/>
            <w:gridSpan w:val="2"/>
            <w:vMerge w:val="continue"/>
            <w:vAlign w:val="center"/>
          </w:tcPr>
          <w:p>
            <w:pPr>
              <w:rPr>
                <w:sz w:val="20"/>
              </w:rPr>
            </w:pPr>
          </w:p>
        </w:tc>
        <w:tc>
          <w:tcPr>
            <w:tcW w:w="2126" w:type="dxa"/>
            <w:gridSpan w:val="4"/>
            <w:vMerge w:val="continue"/>
            <w:vAlign w:val="center"/>
          </w:tcPr>
          <w:p>
            <w:pPr>
              <w:jc w:val="center"/>
              <w:rPr>
                <w:sz w:val="20"/>
              </w:rPr>
            </w:pPr>
          </w:p>
        </w:tc>
        <w:tc>
          <w:tcPr>
            <w:tcW w:w="1418" w:type="dxa"/>
            <w:gridSpan w:val="4"/>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jc w:val="center"/>
              <w:rPr>
                <w:rFonts w:hint="default" w:ascii="Times New Roman" w:hAnsi="Times New Roman" w:eastAsia="宋体" w:cs="Times New Roman"/>
                <w:kern w:val="2"/>
                <w:sz w:val="20"/>
                <w:lang w:val="en-US" w:eastAsia="zh-CN" w:bidi="ar-SA"/>
              </w:rPr>
            </w:pPr>
            <w:r>
              <w:rPr>
                <w:rFonts w:hint="eastAsia"/>
                <w:sz w:val="20"/>
                <w:lang w:val="en-US" w:eastAsia="zh-CN"/>
              </w:rPr>
              <w:t>2020.12.9</w:t>
            </w:r>
          </w:p>
        </w:tc>
        <w:tc>
          <w:tcPr>
            <w:tcW w:w="1134" w:type="dxa"/>
            <w:gridSpan w:val="2"/>
            <w:vAlign w:val="center"/>
          </w:tcPr>
          <w:p>
            <w:pPr>
              <w:rPr>
                <w:sz w:val="20"/>
              </w:rPr>
            </w:pPr>
            <w:r>
              <w:rPr>
                <w:rFonts w:hint="eastAsia"/>
                <w:sz w:val="20"/>
              </w:rPr>
              <w:t>日期</w:t>
            </w:r>
          </w:p>
        </w:tc>
        <w:tc>
          <w:tcPr>
            <w:tcW w:w="2126" w:type="dxa"/>
            <w:gridSpan w:val="4"/>
            <w:vAlign w:val="center"/>
          </w:tcPr>
          <w:p>
            <w:pPr>
              <w:jc w:val="center"/>
              <w:rPr>
                <w:sz w:val="20"/>
              </w:rPr>
            </w:pPr>
            <w:r>
              <w:rPr>
                <w:rFonts w:hint="eastAsia"/>
                <w:sz w:val="20"/>
                <w:lang w:val="en-US" w:eastAsia="zh-CN"/>
              </w:rPr>
              <w:t>2020.12.9</w:t>
            </w:r>
          </w:p>
        </w:tc>
        <w:tc>
          <w:tcPr>
            <w:tcW w:w="1418" w:type="dxa"/>
            <w:gridSpan w:val="4"/>
            <w:vAlign w:val="center"/>
          </w:tcPr>
          <w:p>
            <w:pPr>
              <w:rPr>
                <w:sz w:val="20"/>
              </w:rPr>
            </w:pPr>
            <w:r>
              <w:rPr>
                <w:rFonts w:hint="eastAsia"/>
                <w:sz w:val="20"/>
              </w:rPr>
              <w:t>日期</w:t>
            </w:r>
          </w:p>
        </w:tc>
        <w:tc>
          <w:tcPr>
            <w:tcW w:w="2599" w:type="dxa"/>
            <w:gridSpan w:val="4"/>
            <w:vAlign w:val="center"/>
          </w:tcP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5"/>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428"/>
        <w:gridCol w:w="832"/>
        <w:gridCol w:w="6041"/>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1" w:hRule="atLeast"/>
          <w:jc w:val="center"/>
        </w:trPr>
        <w:tc>
          <w:tcPr>
            <w:tcW w:w="10377"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428"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83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6041"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065"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vMerge w:val="restart"/>
            <w:tcBorders>
              <w:left w:val="single" w:color="auto" w:sz="8" w:space="0"/>
            </w:tcBorders>
            <w:vAlign w:val="center"/>
          </w:tcPr>
          <w:p>
            <w:pPr>
              <w:snapToGrid w:val="0"/>
              <w:spacing w:line="320" w:lineRule="exact"/>
              <w:rPr>
                <w:rFonts w:ascii="宋体" w:hAnsi="宋体"/>
                <w:b/>
                <w:bCs/>
                <w:sz w:val="21"/>
                <w:szCs w:val="21"/>
              </w:rPr>
            </w:pPr>
          </w:p>
        </w:tc>
        <w:tc>
          <w:tcPr>
            <w:tcW w:w="1428" w:type="dxa"/>
            <w:vAlign w:val="center"/>
          </w:tcPr>
          <w:p>
            <w:pPr>
              <w:snapToGrid w:val="0"/>
              <w:spacing w:line="280" w:lineRule="exact"/>
              <w:jc w:val="center"/>
              <w:rPr>
                <w:rFonts w:ascii="宋体" w:hAnsi="宋体"/>
                <w:b/>
                <w:bCs/>
                <w:sz w:val="21"/>
                <w:szCs w:val="21"/>
              </w:rPr>
            </w:pPr>
            <w:r>
              <w:rPr>
                <w:rFonts w:hint="eastAsia" w:ascii="宋体" w:hAnsi="宋体"/>
                <w:b/>
                <w:bCs/>
                <w:sz w:val="21"/>
                <w:szCs w:val="21"/>
                <w:lang w:val="en-US" w:eastAsia="zh-CN"/>
              </w:rPr>
              <w:t>13</w:t>
            </w:r>
            <w:r>
              <w:rPr>
                <w:rFonts w:hint="eastAsia" w:ascii="宋体" w:hAnsi="宋体"/>
                <w:b/>
                <w:bCs/>
                <w:sz w:val="21"/>
                <w:szCs w:val="21"/>
              </w:rPr>
              <w:t>:00-</w:t>
            </w:r>
            <w:r>
              <w:rPr>
                <w:rFonts w:hint="eastAsia" w:ascii="宋体" w:hAnsi="宋体"/>
                <w:b/>
                <w:bCs/>
                <w:sz w:val="21"/>
                <w:szCs w:val="21"/>
                <w:lang w:val="en-US" w:eastAsia="zh-CN"/>
              </w:rPr>
              <w:t>13</w:t>
            </w:r>
            <w:r>
              <w:rPr>
                <w:rFonts w:hint="eastAsia" w:ascii="宋体" w:hAnsi="宋体"/>
                <w:b/>
                <w:bCs/>
                <w:sz w:val="21"/>
                <w:szCs w:val="21"/>
              </w:rPr>
              <w:t>:30</w:t>
            </w:r>
          </w:p>
        </w:tc>
        <w:tc>
          <w:tcPr>
            <w:tcW w:w="6873" w:type="dxa"/>
            <w:gridSpan w:val="2"/>
            <w:vAlign w:val="center"/>
          </w:tcPr>
          <w:p>
            <w:pPr>
              <w:rPr>
                <w:rFonts w:ascii="宋体" w:hAnsi="宋体"/>
                <w:sz w:val="18"/>
              </w:rPr>
            </w:pPr>
            <w:r>
              <w:rPr>
                <w:rFonts w:hint="eastAsia" w:ascii="宋体" w:hAnsi="宋体"/>
                <w:sz w:val="21"/>
                <w:szCs w:val="21"/>
              </w:rPr>
              <w:t>首次会议</w:t>
            </w:r>
          </w:p>
        </w:tc>
        <w:tc>
          <w:tcPr>
            <w:tcW w:w="1065" w:type="dxa"/>
            <w:tcBorders>
              <w:right w:val="single" w:color="auto" w:sz="8" w:space="0"/>
            </w:tcBorders>
            <w:vAlign w:val="center"/>
          </w:tcPr>
          <w:p>
            <w:pPr>
              <w:snapToGrid w:val="0"/>
              <w:spacing w:line="280" w:lineRule="exact"/>
              <w:jc w:val="left"/>
              <w:rPr>
                <w:rFonts w:hint="default" w:ascii="宋体" w:hAnsi="宋体" w:eastAsia="宋体"/>
                <w:b/>
                <w:bCs/>
                <w:sz w:val="21"/>
                <w:szCs w:val="21"/>
                <w:lang w:val="en-US" w:eastAsia="zh-CN"/>
              </w:rPr>
            </w:pPr>
            <w:r>
              <w:rPr>
                <w:rFonts w:hint="eastAsia" w:ascii="宋体" w:hAnsi="宋体" w:cs="新宋体"/>
                <w:sz w:val="18"/>
                <w:szCs w:val="18"/>
                <w:highlight w:val="none"/>
                <w:lang w:val="en-US" w:eastAsia="zh-CN"/>
              </w:rPr>
              <w:t>杨珍全</w:t>
            </w:r>
            <w:r>
              <w:rPr>
                <w:rFonts w:hint="eastAsia" w:ascii="宋体" w:hAnsi="宋体"/>
                <w:b/>
                <w:bCs/>
                <w:sz w:val="21"/>
                <w:szCs w:val="21"/>
              </w:rPr>
              <w:t>、</w:t>
            </w:r>
            <w:r>
              <w:rPr>
                <w:rFonts w:hint="eastAsia" w:ascii="宋体" w:hAnsi="宋体" w:cs="新宋体"/>
                <w:sz w:val="18"/>
                <w:szCs w:val="18"/>
                <w:highlight w:val="none"/>
                <w:lang w:val="en-US" w:eastAsia="zh-CN"/>
              </w:rPr>
              <w:t>余家龙、陈伟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88"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428" w:type="dxa"/>
            <w:vMerge w:val="restart"/>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rPr>
              <w:t>1</w:t>
            </w:r>
            <w:r>
              <w:rPr>
                <w:rFonts w:hint="eastAsia" w:ascii="宋体" w:hAnsi="宋体"/>
                <w:b/>
                <w:bCs/>
                <w:sz w:val="21"/>
                <w:szCs w:val="21"/>
                <w:lang w:val="en-US" w:eastAsia="zh-CN"/>
              </w:rPr>
              <w:t>3</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0-1</w:t>
            </w:r>
            <w:r>
              <w:rPr>
                <w:rFonts w:hint="eastAsia" w:ascii="宋体" w:hAnsi="宋体"/>
                <w:b/>
                <w:bCs/>
                <w:sz w:val="21"/>
                <w:szCs w:val="21"/>
                <w:lang w:val="en-US" w:eastAsia="zh-CN"/>
              </w:rPr>
              <w:t>6</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p>
        </w:tc>
        <w:tc>
          <w:tcPr>
            <w:tcW w:w="832" w:type="dxa"/>
          </w:tcPr>
          <w:p>
            <w:pPr>
              <w:spacing w:line="300" w:lineRule="exact"/>
              <w:rPr>
                <w:rFonts w:ascii="宋体" w:hAnsi="宋体"/>
                <w:b/>
                <w:bCs/>
                <w:sz w:val="21"/>
                <w:szCs w:val="21"/>
              </w:rPr>
            </w:pPr>
            <w:r>
              <w:rPr>
                <w:rFonts w:hint="eastAsia" w:ascii="宋体" w:hAnsi="宋体"/>
                <w:b/>
                <w:bCs/>
                <w:sz w:val="21"/>
                <w:szCs w:val="21"/>
              </w:rPr>
              <w:t>管理层</w:t>
            </w:r>
          </w:p>
        </w:tc>
        <w:tc>
          <w:tcPr>
            <w:tcW w:w="6041" w:type="dxa"/>
          </w:tcPr>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 xml:space="preserve">QMS-2015 </w:t>
            </w:r>
            <w:r>
              <w:rPr>
                <w:rFonts w:hint="eastAsia" w:ascii="宋体" w:hAnsi="宋体" w:cs="新宋体"/>
                <w:sz w:val="18"/>
                <w:szCs w:val="18"/>
                <w:lang w:eastAsia="zh-CN"/>
              </w:rPr>
              <w:t>：</w:t>
            </w:r>
            <w:r>
              <w:rPr>
                <w:rFonts w:hint="eastAsia" w:ascii="宋体" w:hAnsi="宋体" w:cs="新宋体"/>
                <w:sz w:val="18"/>
                <w:szCs w:val="18"/>
                <w:lang w:val="en-US" w:eastAsia="zh-CN"/>
              </w:rPr>
              <w:t>陈伟</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总则；7.1.2人员；7.1.6组织知识；7.4沟通；7.5.1文件化信息总则9.1.1监测、分析和评价总则；9.2内部审核；9.3管理评审；10.1改进 总则；10.3持续改进</w:t>
            </w:r>
          </w:p>
          <w:p>
            <w:pPr>
              <w:spacing w:line="300" w:lineRule="exact"/>
              <w:rPr>
                <w:rFonts w:ascii="宋体" w:hAnsi="宋体" w:cs="新宋体"/>
                <w:sz w:val="18"/>
                <w:szCs w:val="18"/>
              </w:rPr>
            </w:pPr>
          </w:p>
          <w:p>
            <w:pPr>
              <w:rPr>
                <w:rFonts w:hint="default" w:ascii="宋体" w:hAnsi="宋体" w:eastAsia="宋体" w:cs="新宋体"/>
                <w:sz w:val="18"/>
                <w:szCs w:val="18"/>
                <w:highlight w:val="none"/>
                <w:lang w:val="en-US" w:eastAsia="zh-CN"/>
              </w:rPr>
            </w:pPr>
            <w:r>
              <w:rPr>
                <w:rFonts w:hint="eastAsia" w:ascii="宋体" w:hAnsi="宋体" w:cs="新宋体"/>
                <w:sz w:val="18"/>
                <w:szCs w:val="18"/>
                <w:highlight w:val="none"/>
              </w:rPr>
              <w:t xml:space="preserve">EMS-2015 </w:t>
            </w:r>
            <w:r>
              <w:rPr>
                <w:rFonts w:hint="eastAsia" w:ascii="宋体" w:hAnsi="宋体" w:cs="新宋体"/>
                <w:sz w:val="18"/>
                <w:szCs w:val="18"/>
                <w:highlight w:val="none"/>
                <w:lang w:eastAsia="zh-CN"/>
              </w:rPr>
              <w:t>：</w:t>
            </w:r>
            <w:r>
              <w:rPr>
                <w:rFonts w:hint="eastAsia" w:ascii="宋体" w:hAnsi="宋体" w:cs="新宋体"/>
                <w:sz w:val="18"/>
                <w:szCs w:val="18"/>
                <w:highlight w:val="none"/>
                <w:lang w:val="en-US" w:eastAsia="zh-CN"/>
              </w:rPr>
              <w:t>余家龙</w:t>
            </w:r>
          </w:p>
          <w:p>
            <w:pPr>
              <w:spacing w:line="300" w:lineRule="exact"/>
              <w:rPr>
                <w:rFonts w:hint="eastAsia" w:ascii="宋体" w:hAnsi="宋体" w:cs="新宋体"/>
                <w:sz w:val="18"/>
                <w:szCs w:val="18"/>
                <w:highlight w:val="none"/>
              </w:rPr>
            </w:pPr>
            <w:r>
              <w:rPr>
                <w:rFonts w:hint="eastAsia" w:ascii="宋体" w:hAnsi="宋体" w:cs="新宋体"/>
                <w:sz w:val="18"/>
                <w:szCs w:val="18"/>
                <w:highlight w:val="none"/>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spacing w:line="300" w:lineRule="exact"/>
              <w:rPr>
                <w:rFonts w:hint="eastAsia" w:ascii="宋体" w:hAnsi="宋体" w:cs="新宋体"/>
                <w:sz w:val="18"/>
                <w:szCs w:val="18"/>
                <w:highlight w:val="none"/>
              </w:rPr>
            </w:pPr>
          </w:p>
          <w:p>
            <w:pPr>
              <w:snapToGrid w:val="0"/>
              <w:spacing w:line="240" w:lineRule="exact"/>
              <w:rPr>
                <w:rFonts w:hint="default" w:ascii="宋体" w:hAnsi="宋体" w:cs="新宋体"/>
                <w:sz w:val="18"/>
                <w:szCs w:val="18"/>
                <w:highlight w:val="none"/>
                <w:lang w:val="en-US" w:eastAsia="zh-CN"/>
              </w:rPr>
            </w:pPr>
            <w:r>
              <w:rPr>
                <w:rFonts w:hint="eastAsia" w:ascii="宋体" w:hAnsi="宋体" w:cs="新宋体"/>
                <w:sz w:val="18"/>
                <w:szCs w:val="18"/>
                <w:highlight w:val="none"/>
                <w:lang w:val="en-US" w:eastAsia="zh-CN"/>
              </w:rPr>
              <w:t xml:space="preserve">ISO45001：2018：杨珍全 </w:t>
            </w:r>
          </w:p>
          <w:p>
            <w:pPr>
              <w:snapToGrid w:val="0"/>
              <w:spacing w:line="240" w:lineRule="exact"/>
              <w:rPr>
                <w:rFonts w:hint="eastAsia" w:ascii="宋体" w:hAnsi="宋体" w:cs="新宋体"/>
                <w:sz w:val="18"/>
                <w:szCs w:val="18"/>
                <w:highlight w:val="none"/>
                <w:lang w:val="en-US" w:eastAsia="zh-CN"/>
              </w:rPr>
            </w:pPr>
            <w:r>
              <w:rPr>
                <w:rFonts w:hint="eastAsia" w:ascii="宋体" w:hAnsi="宋体" w:cs="新宋体"/>
                <w:sz w:val="18"/>
                <w:szCs w:val="18"/>
                <w:highlight w:val="none"/>
              </w:rPr>
              <w:t>4.1</w:t>
            </w:r>
            <w:r>
              <w:rPr>
                <w:rFonts w:hint="eastAsia" w:ascii="宋体" w:hAnsi="宋体" w:cs="新宋体"/>
                <w:sz w:val="18"/>
                <w:szCs w:val="18"/>
                <w:highlight w:val="none"/>
                <w:lang w:val="en-US" w:eastAsia="zh-CN"/>
              </w:rPr>
              <w:t>组织及其环境;4.2相关方需求与期望;4.3确定体系范围;4.4体系;5.1领导作用与承诺;5.2方针;5.3组织的角色、职责和权限；6.1应对风险和机遇的措施6.1.4措施的策划；</w:t>
            </w:r>
            <w:r>
              <w:rPr>
                <w:rFonts w:hint="eastAsia" w:ascii="宋体" w:hAnsi="宋体" w:cs="新宋体"/>
                <w:sz w:val="18"/>
                <w:szCs w:val="18"/>
                <w:highlight w:val="none"/>
              </w:rPr>
              <w:t>6.2目标及其实现的策划；</w:t>
            </w:r>
            <w:r>
              <w:rPr>
                <w:rFonts w:hint="eastAsia" w:ascii="宋体" w:hAnsi="宋体" w:cs="新宋体"/>
                <w:sz w:val="18"/>
                <w:szCs w:val="18"/>
                <w:highlight w:val="none"/>
                <w:lang w:val="en-US" w:eastAsia="zh-CN"/>
              </w:rPr>
              <w:t>7.1资源；7.4信息和沟通；7.5.1文件化信息总则；9.1监视、测量、分析和评价；9.2内部审核；9.3管理评审；10.1事件、不符合和纠正措施；10.2持续改进。</w:t>
            </w:r>
          </w:p>
          <w:p>
            <w:pPr>
              <w:snapToGrid w:val="0"/>
              <w:spacing w:line="240" w:lineRule="exact"/>
              <w:rPr>
                <w:rFonts w:hint="eastAsia" w:ascii="宋体" w:hAnsi="宋体" w:cs="新宋体"/>
                <w:sz w:val="18"/>
                <w:szCs w:val="18"/>
                <w:highlight w:val="none"/>
                <w:lang w:val="en-US" w:eastAsia="zh-CN"/>
              </w:rPr>
            </w:pPr>
            <w:bookmarkStart w:id="17" w:name="_GoBack"/>
            <w:bookmarkEnd w:id="17"/>
          </w:p>
          <w:p>
            <w:pPr>
              <w:snapToGrid w:val="0"/>
              <w:spacing w:line="240" w:lineRule="exact"/>
              <w:rPr>
                <w:rFonts w:hint="eastAsia" w:ascii="宋体" w:hAnsi="宋体" w:cs="新宋体"/>
                <w:sz w:val="18"/>
                <w:szCs w:val="18"/>
                <w:highlight w:val="none"/>
                <w:lang w:val="en-US" w:eastAsia="zh-CN"/>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1065" w:type="dxa"/>
            <w:tcBorders>
              <w:right w:val="single" w:color="auto" w:sz="8" w:space="0"/>
            </w:tcBorders>
          </w:tcPr>
          <w:p>
            <w:pPr>
              <w:snapToGrid w:val="0"/>
              <w:spacing w:line="320" w:lineRule="exact"/>
              <w:rPr>
                <w:rFonts w:hint="default" w:ascii="宋体" w:hAnsi="宋体" w:eastAsia="宋体"/>
                <w:b/>
                <w:bCs/>
                <w:sz w:val="18"/>
                <w:szCs w:val="18"/>
                <w:lang w:val="en-US" w:eastAsia="zh-CN"/>
              </w:rPr>
            </w:pPr>
            <w:r>
              <w:rPr>
                <w:rFonts w:hint="eastAsia" w:ascii="宋体" w:hAnsi="宋体" w:cs="新宋体"/>
                <w:sz w:val="18"/>
                <w:szCs w:val="18"/>
                <w:highlight w:val="none"/>
                <w:lang w:val="en-US" w:eastAsia="zh-CN"/>
              </w:rPr>
              <w:t>陈伟、余家龙、杨珍全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4"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428" w:type="dxa"/>
            <w:vMerge w:val="continue"/>
            <w:tcBorders/>
          </w:tcPr>
          <w:p>
            <w:pPr>
              <w:snapToGrid w:val="0"/>
              <w:spacing w:line="320" w:lineRule="exact"/>
              <w:rPr>
                <w:rFonts w:ascii="宋体" w:hAnsi="宋体"/>
                <w:b/>
                <w:bCs/>
                <w:sz w:val="21"/>
                <w:szCs w:val="21"/>
              </w:rPr>
            </w:pPr>
          </w:p>
        </w:tc>
        <w:tc>
          <w:tcPr>
            <w:tcW w:w="832" w:type="dxa"/>
          </w:tcPr>
          <w:p>
            <w:pPr>
              <w:spacing w:line="300" w:lineRule="exact"/>
              <w:rPr>
                <w:rFonts w:ascii="宋体" w:hAnsi="宋体"/>
                <w:b/>
                <w:bCs/>
                <w:sz w:val="21"/>
                <w:szCs w:val="21"/>
              </w:rPr>
            </w:pPr>
            <w:r>
              <w:rPr>
                <w:rFonts w:hint="eastAsia" w:ascii="宋体" w:hAnsi="宋体" w:cs="新宋体"/>
                <w:sz w:val="21"/>
                <w:szCs w:val="21"/>
                <w:lang w:eastAsia="zh-CN"/>
              </w:rPr>
              <w:t>综合</w:t>
            </w:r>
            <w:r>
              <w:rPr>
                <w:rFonts w:hint="eastAsia" w:ascii="宋体" w:hAnsi="宋体" w:cs="新宋体"/>
                <w:sz w:val="21"/>
                <w:szCs w:val="21"/>
              </w:rPr>
              <w:t>部（含财务）</w:t>
            </w:r>
          </w:p>
        </w:tc>
        <w:tc>
          <w:tcPr>
            <w:tcW w:w="6041" w:type="dxa"/>
          </w:tcPr>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 xml:space="preserve">QMS-2015 </w:t>
            </w:r>
            <w:r>
              <w:rPr>
                <w:rFonts w:hint="eastAsia" w:ascii="宋体" w:hAnsi="宋体" w:cs="新宋体"/>
                <w:sz w:val="18"/>
                <w:szCs w:val="18"/>
                <w:lang w:eastAsia="zh-CN"/>
              </w:rPr>
              <w:t>：</w:t>
            </w:r>
            <w:r>
              <w:rPr>
                <w:rFonts w:hint="eastAsia" w:ascii="宋体" w:hAnsi="宋体" w:cs="新宋体"/>
                <w:sz w:val="18"/>
                <w:szCs w:val="18"/>
                <w:lang w:val="en-US" w:eastAsia="zh-CN"/>
              </w:rPr>
              <w:t>杨珍全</w:t>
            </w:r>
          </w:p>
          <w:p>
            <w:pPr>
              <w:spacing w:line="300" w:lineRule="exact"/>
              <w:rPr>
                <w:rFonts w:hint="eastAsia" w:ascii="宋体" w:hAnsi="宋体" w:cs="新宋体"/>
                <w:sz w:val="18"/>
                <w:szCs w:val="18"/>
              </w:rPr>
            </w:pPr>
            <w:r>
              <w:rPr>
                <w:rFonts w:hint="eastAsia" w:ascii="宋体" w:hAnsi="宋体" w:cs="新宋体"/>
                <w:sz w:val="18"/>
                <w:szCs w:val="18"/>
              </w:rPr>
              <w:t>5.3岗位/职责 /权限；6.2质量目标及其实现的策划；7.1.2人员7.1.4过程运行环境7.2能力；7.3意识；7.5文件化信息；</w:t>
            </w:r>
            <w:r>
              <w:rPr>
                <w:rFonts w:hint="eastAsia" w:ascii="宋体" w:hAnsi="宋体" w:cs="新宋体"/>
                <w:sz w:val="18"/>
                <w:szCs w:val="18"/>
                <w:highlight w:val="none"/>
              </w:rPr>
              <w:t xml:space="preserve"> 8.2产品和服务的要求；8.4外部提供供方的控制</w:t>
            </w:r>
            <w:r>
              <w:rPr>
                <w:rFonts w:ascii="宋体" w:hAnsi="宋体" w:cs="新宋体"/>
                <w:sz w:val="18"/>
                <w:szCs w:val="18"/>
                <w:highlight w:val="none"/>
              </w:rPr>
              <w:t xml:space="preserve"> </w:t>
            </w:r>
            <w:r>
              <w:rPr>
                <w:rFonts w:hint="eastAsia" w:ascii="宋体" w:hAnsi="宋体" w:cs="新宋体"/>
                <w:sz w:val="18"/>
                <w:szCs w:val="18"/>
                <w:highlight w:val="none"/>
              </w:rPr>
              <w:t>；</w:t>
            </w:r>
            <w:r>
              <w:rPr>
                <w:rFonts w:hint="eastAsia" w:ascii="宋体" w:hAnsi="宋体" w:cs="新宋体"/>
                <w:sz w:val="18"/>
                <w:szCs w:val="18"/>
              </w:rPr>
              <w:t>8.5.3顾客或外部供方的财产；</w:t>
            </w:r>
            <w:r>
              <w:rPr>
                <w:rFonts w:hint="eastAsia" w:ascii="宋体" w:hAnsi="宋体" w:cs="新宋体"/>
                <w:sz w:val="18"/>
                <w:szCs w:val="18"/>
                <w:lang w:val="en-US" w:eastAsia="zh-CN"/>
              </w:rPr>
              <w:t>；</w:t>
            </w:r>
            <w:r>
              <w:rPr>
                <w:rFonts w:hint="eastAsia" w:ascii="宋体" w:hAnsi="宋体" w:cs="新宋体"/>
                <w:sz w:val="18"/>
                <w:szCs w:val="18"/>
                <w:highlight w:val="none"/>
              </w:rPr>
              <w:t>9.1.2顾客满意；</w:t>
            </w:r>
          </w:p>
          <w:p>
            <w:pPr>
              <w:spacing w:line="300" w:lineRule="exact"/>
              <w:rPr>
                <w:rFonts w:hint="eastAsia" w:ascii="宋体" w:hAnsi="宋体" w:cs="新宋体"/>
                <w:sz w:val="18"/>
                <w:szCs w:val="18"/>
              </w:rPr>
            </w:pPr>
          </w:p>
          <w:p>
            <w:pPr>
              <w:rPr>
                <w:rFonts w:hint="default" w:ascii="宋体" w:hAnsi="宋体" w:eastAsia="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lang w:val="en-US" w:eastAsia="zh-CN"/>
              </w:rPr>
              <w:t xml:space="preserve">杨珍全、陈伟（实习） </w:t>
            </w:r>
          </w:p>
          <w:p>
            <w:pPr>
              <w:spacing w:line="300" w:lineRule="exact"/>
              <w:rPr>
                <w:rFonts w:ascii="宋体" w:hAnsi="宋体" w:cs="新宋体"/>
                <w:sz w:val="18"/>
                <w:szCs w:val="18"/>
              </w:rPr>
            </w:pPr>
            <w:r>
              <w:rPr>
                <w:rFonts w:hint="eastAsia" w:ascii="宋体" w:hAnsi="宋体" w:cs="新宋体"/>
                <w:sz w:val="18"/>
                <w:szCs w:val="18"/>
              </w:rPr>
              <w:t>5.3组织的角色、职责和权限; 6.1.2环境因素；6.1.3合规义务；6.2目标及其达成的策划；7.2能力；7.3意识；7.4沟通；7.5文件化信息； 8.1运行策划和控制；8.2应急准备和响应；</w:t>
            </w:r>
            <w:r>
              <w:rPr>
                <w:rFonts w:ascii="宋体" w:hAnsi="宋体" w:cs="新宋体"/>
                <w:sz w:val="18"/>
                <w:szCs w:val="18"/>
              </w:rPr>
              <w:t xml:space="preserve"> </w:t>
            </w:r>
            <w:r>
              <w:rPr>
                <w:rFonts w:hint="eastAsia" w:ascii="宋体" w:hAnsi="宋体" w:cs="新宋体"/>
                <w:sz w:val="18"/>
                <w:szCs w:val="18"/>
              </w:rPr>
              <w:t xml:space="preserve"> 9.1监视、测量、分析与评估；9.1.2符合性评估；10.2不符合和纠正措施；10.3持续改进/EMS运行控制相关财务支出证据。</w:t>
            </w:r>
          </w:p>
          <w:p>
            <w:pPr>
              <w:spacing w:line="300" w:lineRule="exact"/>
              <w:rPr>
                <w:rFonts w:hint="eastAsia" w:ascii="宋体" w:hAnsi="宋体" w:cs="新宋体"/>
                <w:sz w:val="18"/>
                <w:szCs w:val="18"/>
                <w:highlight w:val="none"/>
              </w:rPr>
            </w:pPr>
          </w:p>
          <w:p>
            <w:pPr>
              <w:snapToGrid w:val="0"/>
              <w:spacing w:line="240" w:lineRule="exact"/>
              <w:rPr>
                <w:rFonts w:hint="default" w:ascii="宋体" w:hAnsi="宋体" w:cs="新宋体"/>
                <w:sz w:val="18"/>
                <w:szCs w:val="18"/>
                <w:highlight w:val="none"/>
                <w:lang w:val="en-US" w:eastAsia="zh-CN"/>
              </w:rPr>
            </w:pPr>
            <w:r>
              <w:rPr>
                <w:rFonts w:hint="eastAsia" w:ascii="宋体" w:hAnsi="宋体" w:cs="新宋体"/>
                <w:sz w:val="18"/>
                <w:szCs w:val="18"/>
                <w:highlight w:val="none"/>
                <w:lang w:val="en-US" w:eastAsia="zh-CN"/>
              </w:rPr>
              <w:t xml:space="preserve">ISO45001：2018：杨珍全 </w:t>
            </w:r>
          </w:p>
          <w:p>
            <w:pPr>
              <w:snapToGrid w:val="0"/>
              <w:spacing w:line="240" w:lineRule="exact"/>
              <w:rPr>
                <w:rFonts w:hint="eastAsia" w:ascii="宋体" w:hAnsi="宋体" w:cs="新宋体"/>
                <w:sz w:val="18"/>
                <w:szCs w:val="18"/>
                <w:highlight w:val="none"/>
                <w:lang w:eastAsia="zh-CN"/>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p>
          <w:p>
            <w:pPr>
              <w:spacing w:line="300" w:lineRule="exact"/>
              <w:rPr>
                <w:rFonts w:ascii="宋体" w:hAnsi="宋体" w:cs="新宋体"/>
                <w:sz w:val="18"/>
                <w:szCs w:val="18"/>
              </w:rPr>
            </w:pPr>
            <w:r>
              <w:rPr>
                <w:rFonts w:hint="eastAsia" w:ascii="宋体" w:hAnsi="宋体" w:cs="新宋体"/>
                <w:sz w:val="18"/>
                <w:szCs w:val="18"/>
                <w:highlight w:val="none"/>
                <w:lang w:val="en-US" w:eastAsia="zh-CN"/>
              </w:rPr>
              <w:t>6.1.3法律法规要求和其他要求；</w:t>
            </w:r>
            <w:r>
              <w:rPr>
                <w:rFonts w:hint="eastAsia" w:ascii="宋体" w:hAnsi="宋体" w:cs="新宋体"/>
                <w:sz w:val="18"/>
                <w:szCs w:val="18"/>
                <w:highlight w:val="none"/>
              </w:rPr>
              <w:t>6.2目标及其实现的策划；7.1资源；7.2能力；7.3意识；7.4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7.5文件化信息；8.1运行策划和控制；</w:t>
            </w:r>
            <w:r>
              <w:rPr>
                <w:rFonts w:hint="eastAsia" w:ascii="宋体" w:hAnsi="宋体" w:cs="新宋体"/>
                <w:sz w:val="18"/>
                <w:szCs w:val="18"/>
                <w:highlight w:val="none"/>
                <w:lang w:val="en-US" w:eastAsia="zh-CN"/>
              </w:rPr>
              <w:t>8.2应急准备和响应；9.1监视、测量、分析和评价；9.1.2法律法规要求和其他要求的合规性评价；10.1事件、不符合和纠正措施；10.2持续改进</w:t>
            </w:r>
            <w:r>
              <w:rPr>
                <w:rFonts w:hint="eastAsia" w:ascii="宋体" w:hAnsi="宋体" w:cs="新宋体"/>
                <w:sz w:val="18"/>
                <w:szCs w:val="18"/>
                <w:highlight w:val="none"/>
              </w:rPr>
              <w:t>/OHSMS运行控制财务支出证据。</w:t>
            </w:r>
          </w:p>
        </w:tc>
        <w:tc>
          <w:tcPr>
            <w:tcW w:w="1065" w:type="dxa"/>
            <w:tcBorders>
              <w:right w:val="single" w:color="auto" w:sz="8" w:space="0"/>
            </w:tcBorders>
          </w:tcPr>
          <w:p>
            <w:pPr>
              <w:snapToGrid w:val="0"/>
              <w:spacing w:line="320" w:lineRule="exact"/>
              <w:rPr>
                <w:rFonts w:hint="default" w:ascii="宋体" w:hAnsi="宋体" w:eastAsia="宋体"/>
                <w:b/>
                <w:bCs/>
                <w:sz w:val="18"/>
                <w:szCs w:val="18"/>
                <w:lang w:val="en-US" w:eastAsia="zh-CN"/>
              </w:rPr>
            </w:pPr>
            <w:r>
              <w:rPr>
                <w:rFonts w:hint="eastAsia" w:ascii="宋体" w:hAnsi="宋体" w:cs="新宋体"/>
                <w:sz w:val="18"/>
                <w:szCs w:val="18"/>
                <w:highlight w:val="none"/>
                <w:lang w:val="en-US" w:eastAsia="zh-CN"/>
              </w:rPr>
              <w:t>杨珍全、陈伟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6"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428" w:type="dxa"/>
            <w:vMerge w:val="continue"/>
            <w:tcBorders/>
            <w:vAlign w:val="top"/>
          </w:tcPr>
          <w:p>
            <w:pPr>
              <w:snapToGrid w:val="0"/>
              <w:spacing w:line="320" w:lineRule="exact"/>
              <w:rPr>
                <w:rFonts w:hint="eastAsia" w:ascii="宋体" w:hAnsi="宋体" w:eastAsia="宋体" w:cs="Times New Roman"/>
                <w:b/>
                <w:bCs/>
                <w:kern w:val="2"/>
                <w:sz w:val="21"/>
                <w:szCs w:val="21"/>
                <w:lang w:val="en-US" w:eastAsia="zh-CN" w:bidi="ar-SA"/>
              </w:rPr>
            </w:pPr>
          </w:p>
        </w:tc>
        <w:tc>
          <w:tcPr>
            <w:tcW w:w="832" w:type="dxa"/>
          </w:tcPr>
          <w:p>
            <w:pPr>
              <w:spacing w:line="300" w:lineRule="exact"/>
              <w:rPr>
                <w:rFonts w:ascii="宋体" w:hAnsi="宋体" w:cs="新宋体"/>
                <w:sz w:val="21"/>
                <w:szCs w:val="21"/>
              </w:rPr>
            </w:pPr>
            <w:r>
              <w:rPr>
                <w:rFonts w:hint="eastAsia" w:ascii="宋体" w:hAnsi="宋体" w:cs="新宋体"/>
                <w:sz w:val="21"/>
                <w:szCs w:val="21"/>
                <w:lang w:val="en-US" w:eastAsia="zh-CN"/>
              </w:rPr>
              <w:t>工程</w:t>
            </w:r>
            <w:r>
              <w:rPr>
                <w:rFonts w:hint="eastAsia" w:ascii="宋体" w:hAnsi="宋体" w:cs="新宋体"/>
                <w:sz w:val="21"/>
                <w:szCs w:val="21"/>
              </w:rPr>
              <w:t>部</w:t>
            </w:r>
          </w:p>
        </w:tc>
        <w:tc>
          <w:tcPr>
            <w:tcW w:w="6041" w:type="dxa"/>
          </w:tcPr>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lang w:val="en-US" w:eastAsia="zh-CN"/>
              </w:rPr>
              <w:t xml:space="preserve"> 余家龙</w:t>
            </w:r>
          </w:p>
          <w:p>
            <w:pPr>
              <w:snapToGrid w:val="0"/>
              <w:spacing w:line="240" w:lineRule="exact"/>
              <w:rPr>
                <w:rFonts w:hint="eastAsia" w:ascii="宋体" w:hAnsi="宋体" w:cs="新宋体"/>
                <w:sz w:val="18"/>
                <w:szCs w:val="18"/>
                <w:lang w:val="en-US" w:eastAsia="zh-CN"/>
              </w:rPr>
            </w:pPr>
            <w:r>
              <w:rPr>
                <w:rFonts w:hint="eastAsia" w:ascii="宋体" w:hAnsi="宋体" w:cs="新宋体"/>
                <w:sz w:val="18"/>
                <w:szCs w:val="18"/>
              </w:rPr>
              <w:t>5.3岗位/职责 /权限；6.2质量目标及其实现的策划；7.1.3基础设施；  7.1.4过程运行环境；</w:t>
            </w:r>
            <w:r>
              <w:rPr>
                <w:rFonts w:hint="eastAsia" w:ascii="宋体" w:hAnsi="宋体" w:cs="新宋体"/>
                <w:sz w:val="18"/>
                <w:szCs w:val="18"/>
                <w:lang w:val="en-US" w:eastAsia="zh-CN"/>
              </w:rPr>
              <w:t>7.1.5</w:t>
            </w:r>
            <w:r>
              <w:rPr>
                <w:rFonts w:hint="eastAsia" w:ascii="宋体" w:hAnsi="宋体" w:cs="新宋体"/>
                <w:sz w:val="18"/>
                <w:szCs w:val="18"/>
              </w:rPr>
              <w:t>监视和测量资源</w:t>
            </w:r>
            <w:r>
              <w:rPr>
                <w:rFonts w:hint="eastAsia" w:ascii="宋体" w:hAnsi="宋体" w:cs="新宋体"/>
                <w:sz w:val="18"/>
                <w:szCs w:val="18"/>
                <w:lang w:val="en-US" w:eastAsia="zh-CN"/>
              </w:rPr>
              <w:t>；</w:t>
            </w:r>
          </w:p>
          <w:p>
            <w:pPr>
              <w:snapToGrid w:val="0"/>
              <w:spacing w:line="240" w:lineRule="exact"/>
              <w:rPr>
                <w:rFonts w:hint="eastAsia" w:ascii="宋体" w:hAnsi="宋体" w:cs="新宋体"/>
                <w:sz w:val="18"/>
                <w:szCs w:val="18"/>
                <w:lang w:val="en-US" w:eastAsia="zh-CN"/>
              </w:rPr>
            </w:pP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lang w:val="en-US" w:eastAsia="zh-CN"/>
              </w:rPr>
              <w:t>杨珍全</w:t>
            </w:r>
          </w:p>
          <w:p>
            <w:pPr>
              <w:snapToGrid w:val="0"/>
              <w:spacing w:line="240" w:lineRule="exact"/>
              <w:rPr>
                <w:rFonts w:hint="eastAsia" w:ascii="宋体" w:hAnsi="宋体" w:cs="新宋体"/>
                <w:sz w:val="18"/>
                <w:szCs w:val="18"/>
              </w:rPr>
            </w:pPr>
            <w:r>
              <w:rPr>
                <w:rFonts w:hint="eastAsia" w:ascii="宋体" w:hAnsi="宋体" w:cs="新宋体"/>
                <w:sz w:val="18"/>
                <w:szCs w:val="18"/>
                <w:highlight w:val="none"/>
              </w:rPr>
              <w:t>8.1运行策划和控制；</w:t>
            </w:r>
            <w:r>
              <w:rPr>
                <w:rFonts w:hint="eastAsia" w:ascii="宋体" w:hAnsi="宋体" w:cs="新宋体"/>
                <w:sz w:val="18"/>
                <w:szCs w:val="18"/>
              </w:rPr>
              <w:t>8.3设计开发控制； 8.5.1生产和服务提供的控制；8.5.2标识和可追溯性；8.5.4防护；8.5.5交付后的活动；8.5.6更改控制；</w:t>
            </w:r>
            <w:r>
              <w:rPr>
                <w:rFonts w:hint="eastAsia" w:ascii="宋体" w:hAnsi="宋体" w:cs="新宋体"/>
                <w:sz w:val="18"/>
                <w:szCs w:val="18"/>
                <w:lang w:val="en-US" w:eastAsia="zh-CN"/>
              </w:rPr>
              <w:t>8.6产品和服务放行；8.7不合格输出的控制；</w:t>
            </w:r>
          </w:p>
          <w:p>
            <w:pPr>
              <w:snapToGrid w:val="0"/>
              <w:spacing w:line="240" w:lineRule="exact"/>
              <w:rPr>
                <w:rFonts w:hint="eastAsia" w:ascii="宋体" w:hAnsi="宋体" w:cs="新宋体"/>
                <w:sz w:val="18"/>
                <w:szCs w:val="18"/>
              </w:rPr>
            </w:pPr>
          </w:p>
          <w:p>
            <w:pPr>
              <w:rPr>
                <w:rFonts w:hint="default" w:ascii="宋体" w:hAnsi="宋体" w:cs="新宋体"/>
                <w:sz w:val="18"/>
                <w:szCs w:val="18"/>
                <w:highlight w:val="none"/>
                <w:lang w:val="en-US" w:eastAsia="zh-CN"/>
              </w:rPr>
            </w:pPr>
            <w:r>
              <w:rPr>
                <w:rFonts w:hint="eastAsia" w:ascii="宋体" w:hAnsi="宋体" w:cs="新宋体"/>
                <w:sz w:val="18"/>
                <w:szCs w:val="18"/>
                <w:highlight w:val="none"/>
              </w:rPr>
              <w:t xml:space="preserve">EMS-2015 </w:t>
            </w:r>
            <w:r>
              <w:rPr>
                <w:rFonts w:hint="eastAsia" w:ascii="宋体" w:hAnsi="宋体" w:cs="新宋体"/>
                <w:sz w:val="18"/>
                <w:szCs w:val="18"/>
                <w:highlight w:val="none"/>
                <w:lang w:eastAsia="zh-CN"/>
              </w:rPr>
              <w:t>：</w:t>
            </w:r>
            <w:r>
              <w:rPr>
                <w:rFonts w:hint="eastAsia" w:ascii="宋体" w:hAnsi="宋体" w:cs="新宋体"/>
                <w:sz w:val="18"/>
                <w:szCs w:val="18"/>
                <w:highlight w:val="none"/>
                <w:lang w:val="en-US" w:eastAsia="zh-CN"/>
              </w:rPr>
              <w:t>杨珍全、陈伟（实习）</w:t>
            </w:r>
          </w:p>
          <w:p>
            <w:pPr>
              <w:rPr>
                <w:rFonts w:hint="eastAsia" w:ascii="宋体" w:hAnsi="宋体" w:cs="新宋体"/>
                <w:sz w:val="18"/>
                <w:szCs w:val="18"/>
                <w:highlight w:val="none"/>
              </w:rPr>
            </w:pPr>
            <w:r>
              <w:rPr>
                <w:rFonts w:hint="eastAsia" w:ascii="宋体" w:hAnsi="宋体" w:cs="新宋体"/>
                <w:sz w:val="18"/>
                <w:szCs w:val="18"/>
                <w:highlight w:val="none"/>
              </w:rPr>
              <w:t>5.3组织的角色、职责和权限、6.1.2环境因素；6.2目标及其达成的策划；7.4沟通；8.1运行策划和控制；8.2应急准备和响应</w:t>
            </w:r>
          </w:p>
          <w:p>
            <w:pPr>
              <w:snapToGrid w:val="0"/>
              <w:spacing w:line="240" w:lineRule="exact"/>
              <w:rPr>
                <w:rFonts w:hint="eastAsia" w:ascii="宋体" w:hAnsi="宋体" w:cs="新宋体"/>
                <w:sz w:val="18"/>
                <w:szCs w:val="18"/>
                <w:highlight w:val="none"/>
              </w:rPr>
            </w:pPr>
          </w:p>
          <w:p>
            <w:pPr>
              <w:snapToGrid w:val="0"/>
              <w:spacing w:line="240" w:lineRule="exact"/>
              <w:rPr>
                <w:rFonts w:hint="default" w:ascii="宋体" w:hAnsi="宋体" w:cs="新宋体"/>
                <w:sz w:val="18"/>
                <w:szCs w:val="18"/>
                <w:highlight w:val="none"/>
                <w:lang w:val="en-US" w:eastAsia="zh-CN"/>
              </w:rPr>
            </w:pPr>
            <w:r>
              <w:rPr>
                <w:rFonts w:hint="eastAsia" w:ascii="宋体" w:hAnsi="宋体" w:cs="新宋体"/>
                <w:sz w:val="18"/>
                <w:szCs w:val="18"/>
                <w:highlight w:val="none"/>
                <w:lang w:val="en-US" w:eastAsia="zh-CN"/>
              </w:rPr>
              <w:t>ISO45001：2018： 杨珍全</w:t>
            </w:r>
          </w:p>
          <w:p>
            <w:pPr>
              <w:snapToGrid w:val="0"/>
              <w:spacing w:line="240" w:lineRule="exact"/>
              <w:rPr>
                <w:rFonts w:hint="default" w:ascii="宋体" w:hAnsi="宋体" w:cs="新宋体"/>
                <w:sz w:val="18"/>
                <w:szCs w:val="18"/>
                <w:lang w:val="en-US" w:eastAsia="zh-CN"/>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r>
              <w:rPr>
                <w:rFonts w:hint="eastAsia" w:ascii="宋体" w:hAnsi="宋体" w:cs="新宋体"/>
                <w:sz w:val="18"/>
                <w:szCs w:val="18"/>
                <w:highlight w:val="none"/>
              </w:rPr>
              <w:t>6.2目标及其实现的策划；7.4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8.1运行策划和控制；</w:t>
            </w:r>
            <w:r>
              <w:rPr>
                <w:rFonts w:hint="eastAsia" w:ascii="宋体" w:hAnsi="宋体" w:cs="新宋体"/>
                <w:sz w:val="18"/>
                <w:szCs w:val="18"/>
                <w:highlight w:val="none"/>
                <w:lang w:val="en-US" w:eastAsia="zh-CN"/>
              </w:rPr>
              <w:t>8.2应急准备和响应；</w:t>
            </w:r>
          </w:p>
          <w:p>
            <w:pPr>
              <w:snapToGrid w:val="0"/>
              <w:spacing w:line="240" w:lineRule="exact"/>
              <w:rPr>
                <w:rFonts w:ascii="宋体" w:hAnsi="宋体" w:cs="新宋体"/>
                <w:sz w:val="18"/>
                <w:szCs w:val="18"/>
              </w:rPr>
            </w:pPr>
          </w:p>
        </w:tc>
        <w:tc>
          <w:tcPr>
            <w:tcW w:w="1065" w:type="dxa"/>
            <w:tcBorders>
              <w:right w:val="single" w:color="auto" w:sz="8" w:space="0"/>
            </w:tcBorders>
          </w:tcPr>
          <w:p>
            <w:pPr>
              <w:snapToGrid w:val="0"/>
              <w:spacing w:line="320" w:lineRule="exact"/>
              <w:rPr>
                <w:rFonts w:hint="default" w:ascii="宋体" w:hAnsi="宋体"/>
                <w:b/>
                <w:bCs/>
                <w:sz w:val="18"/>
                <w:szCs w:val="18"/>
                <w:lang w:val="en-US"/>
              </w:rPr>
            </w:pPr>
            <w:r>
              <w:rPr>
                <w:rFonts w:hint="eastAsia" w:ascii="宋体" w:hAnsi="宋体" w:cs="新宋体"/>
                <w:sz w:val="18"/>
                <w:szCs w:val="18"/>
                <w:highlight w:val="none"/>
                <w:lang w:val="en-US" w:eastAsia="zh-CN"/>
              </w:rPr>
              <w:t>杨珍全</w:t>
            </w:r>
            <w:r>
              <w:rPr>
                <w:rFonts w:hint="eastAsia" w:ascii="宋体" w:hAnsi="宋体"/>
                <w:b/>
                <w:bCs/>
                <w:sz w:val="21"/>
                <w:szCs w:val="21"/>
              </w:rPr>
              <w:t>、</w:t>
            </w:r>
            <w:r>
              <w:rPr>
                <w:rFonts w:hint="eastAsia" w:ascii="宋体" w:hAnsi="宋体" w:cs="新宋体"/>
                <w:sz w:val="18"/>
                <w:szCs w:val="18"/>
                <w:highlight w:val="none"/>
                <w:lang w:val="en-US" w:eastAsia="zh-CN"/>
              </w:rPr>
              <w:t>余家龙、陈伟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428" w:type="dxa"/>
            <w:vAlign w:val="top"/>
          </w:tcPr>
          <w:p>
            <w:pPr>
              <w:snapToGrid w:val="0"/>
              <w:spacing w:line="320" w:lineRule="exact"/>
              <w:rPr>
                <w:rFonts w:hint="eastAsia" w:ascii="宋体" w:hAnsi="宋体"/>
                <w:b/>
                <w:bCs/>
                <w:sz w:val="21"/>
                <w:szCs w:val="21"/>
              </w:rPr>
            </w:pPr>
            <w:r>
              <w:rPr>
                <w:rFonts w:hint="eastAsia" w:ascii="宋体" w:hAnsi="宋体"/>
                <w:b/>
                <w:bCs/>
                <w:sz w:val="21"/>
                <w:szCs w:val="21"/>
              </w:rPr>
              <w:t>1</w:t>
            </w:r>
            <w:r>
              <w:rPr>
                <w:rFonts w:hint="eastAsia" w:ascii="宋体" w:hAnsi="宋体"/>
                <w:b/>
                <w:bCs/>
                <w:sz w:val="21"/>
                <w:szCs w:val="21"/>
                <w:lang w:val="en-US" w:eastAsia="zh-CN"/>
              </w:rPr>
              <w:t>6</w:t>
            </w:r>
            <w:r>
              <w:rPr>
                <w:rFonts w:hint="eastAsia" w:ascii="宋体" w:hAnsi="宋体"/>
                <w:b/>
                <w:bCs/>
                <w:sz w:val="21"/>
                <w:szCs w:val="21"/>
              </w:rPr>
              <w:t>:30-1</w:t>
            </w:r>
            <w:r>
              <w:rPr>
                <w:rFonts w:hint="eastAsia" w:ascii="宋体" w:hAnsi="宋体"/>
                <w:b/>
                <w:bCs/>
                <w:sz w:val="21"/>
                <w:szCs w:val="21"/>
                <w:lang w:val="en-US" w:eastAsia="zh-CN"/>
              </w:rPr>
              <w:t>7</w:t>
            </w:r>
            <w:r>
              <w:rPr>
                <w:rFonts w:hint="eastAsia" w:ascii="宋体" w:hAnsi="宋体"/>
                <w:b/>
                <w:bCs/>
                <w:sz w:val="21"/>
                <w:szCs w:val="21"/>
              </w:rPr>
              <w:t>:00</w:t>
            </w:r>
          </w:p>
        </w:tc>
        <w:tc>
          <w:tcPr>
            <w:tcW w:w="6873" w:type="dxa"/>
            <w:gridSpan w:val="2"/>
            <w:vAlign w:val="center"/>
          </w:tcPr>
          <w:p>
            <w:pPr>
              <w:snapToGrid w:val="0"/>
              <w:spacing w:line="240" w:lineRule="exact"/>
              <w:rPr>
                <w:rFonts w:hint="eastAsia" w:ascii="宋体" w:hAnsi="宋体" w:cs="新宋体"/>
                <w:sz w:val="21"/>
                <w:szCs w:val="21"/>
              </w:rPr>
            </w:pPr>
            <w:r>
              <w:rPr>
                <w:rFonts w:hint="eastAsia" w:ascii="宋体" w:hAnsi="宋体" w:cs="新宋体"/>
                <w:sz w:val="21"/>
                <w:szCs w:val="21"/>
              </w:rPr>
              <w:t>审核组内部沟通,并与受审核方沟通</w:t>
            </w:r>
            <w:r>
              <w:rPr>
                <w:rFonts w:hint="eastAsia" w:ascii="宋体" w:hAnsi="宋体" w:cs="新宋体"/>
                <w:sz w:val="21"/>
                <w:szCs w:val="21"/>
                <w:lang w:eastAsia="zh-CN"/>
              </w:rPr>
              <w:t>、</w:t>
            </w:r>
            <w:r>
              <w:rPr>
                <w:rFonts w:hint="eastAsia" w:ascii="宋体" w:hAnsi="宋体" w:cs="新宋体"/>
                <w:sz w:val="21"/>
                <w:szCs w:val="21"/>
              </w:rPr>
              <w:t>末次会议</w:t>
            </w:r>
          </w:p>
        </w:tc>
        <w:tc>
          <w:tcPr>
            <w:tcW w:w="1065" w:type="dxa"/>
            <w:tcBorders>
              <w:right w:val="single" w:color="auto" w:sz="8" w:space="0"/>
            </w:tcBorders>
            <w:vAlign w:val="top"/>
          </w:tcPr>
          <w:p>
            <w:pPr>
              <w:snapToGrid w:val="0"/>
              <w:spacing w:line="320" w:lineRule="exact"/>
              <w:rPr>
                <w:rFonts w:ascii="宋体" w:hAnsi="宋体"/>
                <w:b/>
                <w:bCs/>
                <w:sz w:val="21"/>
                <w:szCs w:val="21"/>
              </w:rPr>
            </w:pPr>
            <w:r>
              <w:rPr>
                <w:rFonts w:hint="eastAsia" w:ascii="宋体" w:hAnsi="宋体" w:cs="新宋体"/>
                <w:sz w:val="18"/>
                <w:szCs w:val="18"/>
                <w:highlight w:val="none"/>
                <w:lang w:val="en-US" w:eastAsia="zh-CN"/>
              </w:rPr>
              <w:t>杨珍全</w:t>
            </w:r>
            <w:r>
              <w:rPr>
                <w:rFonts w:hint="eastAsia" w:ascii="宋体" w:hAnsi="宋体"/>
                <w:b/>
                <w:bCs/>
                <w:sz w:val="21"/>
                <w:szCs w:val="21"/>
              </w:rPr>
              <w:t>、</w:t>
            </w:r>
            <w:r>
              <w:rPr>
                <w:rFonts w:hint="eastAsia" w:ascii="宋体" w:hAnsi="宋体" w:cs="新宋体"/>
                <w:sz w:val="18"/>
                <w:szCs w:val="18"/>
                <w:highlight w:val="none"/>
                <w:lang w:val="en-US" w:eastAsia="zh-CN"/>
              </w:rPr>
              <w:t>余家龙</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2049" o:spid="_x0000_s2049"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7B470A"/>
    <w:rsid w:val="44AF11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2</TotalTime>
  <ScaleCrop>false</ScaleCrop>
  <LinksUpToDate>false</LinksUpToDate>
  <CharactersWithSpaces>1266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DELL</cp:lastModifiedBy>
  <dcterms:modified xsi:type="dcterms:W3CDTF">2020-12-10T03:47:40Z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