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szCs w:val="21"/>
        </w:rPr>
      </w:pPr>
      <w:r>
        <w:rPr>
          <w:rFonts w:hint="eastAsia"/>
          <w:szCs w:val="21"/>
        </w:rPr>
        <w:t>受审核部门：管理层、</w:t>
      </w:r>
      <w:r>
        <w:rPr>
          <w:rFonts w:hint="eastAsia" w:ascii="宋体" w:hAnsi="宋体"/>
          <w:szCs w:val="21"/>
          <w:lang w:eastAsia="zh-CN"/>
        </w:rPr>
        <w:t>办公室</w:t>
      </w:r>
      <w:r>
        <w:rPr>
          <w:rFonts w:hint="eastAsia" w:ascii="宋体" w:hAnsi="宋体"/>
          <w:szCs w:val="21"/>
        </w:rPr>
        <w:t>、业务部、</w:t>
      </w:r>
      <w:r>
        <w:rPr>
          <w:rFonts w:hint="eastAsia" w:ascii="宋体" w:hAnsi="宋体"/>
          <w:szCs w:val="21"/>
          <w:lang w:eastAsia="zh-CN"/>
        </w:rPr>
        <w:t>测绘部</w:t>
      </w:r>
      <w:r>
        <w:rPr>
          <w:rFonts w:hint="eastAsia" w:ascii="宋体" w:hAnsi="宋体"/>
          <w:szCs w:val="21"/>
        </w:rPr>
        <w:t>、</w:t>
      </w:r>
      <w:r>
        <w:rPr>
          <w:rFonts w:hint="eastAsia" w:ascii="宋体" w:hAnsi="宋体"/>
          <w:szCs w:val="21"/>
          <w:lang w:val="en-US" w:eastAsia="zh-CN"/>
        </w:rPr>
        <w:t>规划设计部、</w:t>
      </w:r>
      <w:r>
        <w:rPr>
          <w:rFonts w:hint="eastAsia" w:ascii="宋体" w:hAnsi="宋体"/>
          <w:szCs w:val="21"/>
        </w:rPr>
        <w:t>财务部</w:t>
      </w:r>
      <w:r>
        <w:rPr>
          <w:rFonts w:hint="eastAsia"/>
          <w:szCs w:val="21"/>
        </w:rPr>
        <w:t xml:space="preserve">    </w:t>
      </w:r>
    </w:p>
    <w:p>
      <w:pPr>
        <w:spacing w:line="480" w:lineRule="exact"/>
        <w:jc w:val="left"/>
        <w:rPr>
          <w:rFonts w:ascii="隶书" w:hAnsi="宋体"/>
          <w:bCs/>
          <w:color w:val="000000"/>
          <w:sz w:val="36"/>
          <w:szCs w:val="36"/>
        </w:rPr>
      </w:pPr>
      <w:r>
        <w:rPr>
          <w:rFonts w:hint="eastAsia"/>
          <w:szCs w:val="21"/>
        </w:rPr>
        <w:t>陪同人员：</w:t>
      </w:r>
      <w:r>
        <w:rPr>
          <w:rFonts w:hint="eastAsia"/>
          <w:szCs w:val="21"/>
          <w:lang w:val="en-US" w:eastAsia="zh-CN"/>
        </w:rPr>
        <w:t>张祥慧</w:t>
      </w:r>
      <w:r>
        <w:rPr>
          <w:rFonts w:hint="eastAsia"/>
          <w:szCs w:val="21"/>
        </w:rPr>
        <w:t>，  审核员：</w:t>
      </w:r>
      <w:r>
        <w:rPr>
          <w:rFonts w:hint="eastAsia"/>
          <w:szCs w:val="21"/>
          <w:lang w:val="en-US" w:eastAsia="zh-CN"/>
        </w:rPr>
        <w:t>杨珍全</w:t>
      </w:r>
      <w:r>
        <w:rPr>
          <w:rFonts w:hint="eastAsia"/>
          <w:szCs w:val="21"/>
        </w:rPr>
        <w:t>、</w:t>
      </w:r>
      <w:r>
        <w:rPr>
          <w:rFonts w:hint="eastAsia"/>
          <w:szCs w:val="21"/>
          <w:lang w:val="en-US" w:eastAsia="zh-CN"/>
        </w:rPr>
        <w:t>余家龙</w:t>
      </w:r>
      <w:r>
        <w:rPr>
          <w:rFonts w:hint="eastAsia"/>
          <w:szCs w:val="21"/>
        </w:rPr>
        <w:t>、</w:t>
      </w:r>
      <w:r>
        <w:rPr>
          <w:rFonts w:hint="eastAsia"/>
          <w:szCs w:val="21"/>
          <w:lang w:val="en-US" w:eastAsia="zh-CN"/>
        </w:rPr>
        <w:t>陈伟、董志凯（专家）</w:t>
      </w:r>
      <w:r>
        <w:rPr>
          <w:rFonts w:hint="eastAsia"/>
          <w:szCs w:val="21"/>
        </w:rPr>
        <w:t>，审核时间：2020年1</w:t>
      </w:r>
      <w:r>
        <w:rPr>
          <w:rFonts w:hint="eastAsia"/>
          <w:szCs w:val="21"/>
          <w:lang w:val="en-US" w:eastAsia="zh-CN"/>
        </w:rPr>
        <w:t>2</w:t>
      </w:r>
      <w:r>
        <w:rPr>
          <w:rFonts w:hint="eastAsia"/>
          <w:szCs w:val="21"/>
        </w:rPr>
        <w:t>月</w:t>
      </w:r>
      <w:r>
        <w:rPr>
          <w:rFonts w:hint="eastAsia"/>
          <w:szCs w:val="21"/>
          <w:lang w:val="en-US" w:eastAsia="zh-CN"/>
        </w:rPr>
        <w:t>10</w:t>
      </w:r>
      <w:r>
        <w:rPr>
          <w:rFonts w:hint="eastAsia"/>
          <w:szCs w:val="21"/>
        </w:rPr>
        <w:t>日</w:t>
      </w:r>
    </w:p>
    <w:tbl>
      <w:tblPr>
        <w:tblStyle w:val="7"/>
        <w:tblW w:w="1432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8172"/>
        <w:gridCol w:w="1691"/>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545" w:type="dxa"/>
            <w:shd w:val="clear" w:color="auto" w:fill="E6E6E6"/>
            <w:vAlign w:val="center"/>
          </w:tcPr>
          <w:p>
            <w:pPr>
              <w:spacing w:line="0" w:lineRule="atLeast"/>
              <w:jc w:val="center"/>
              <w:rPr>
                <w:rFonts w:ascii="楷体_GB2312" w:hAnsi="宋体" w:eastAsia="楷体_GB2312"/>
                <w:szCs w:val="21"/>
              </w:rPr>
            </w:pPr>
            <w:r>
              <w:rPr>
                <w:rFonts w:hint="eastAsia" w:ascii="宋体" w:hAnsi="宋体"/>
                <w:szCs w:val="21"/>
              </w:rPr>
              <w:t>检  查  表</w:t>
            </w:r>
          </w:p>
        </w:tc>
        <w:tc>
          <w:tcPr>
            <w:tcW w:w="8172" w:type="dxa"/>
            <w:shd w:val="clear" w:color="auto" w:fill="E6E6E6"/>
            <w:vAlign w:val="center"/>
          </w:tcPr>
          <w:p>
            <w:pPr>
              <w:spacing w:line="0" w:lineRule="atLeast"/>
              <w:jc w:val="center"/>
              <w:rPr>
                <w:rFonts w:ascii="楷体_GB2312" w:hAnsi="宋体" w:eastAsia="楷体_GB2312"/>
                <w:szCs w:val="21"/>
              </w:rPr>
            </w:pPr>
            <w:r>
              <w:rPr>
                <w:rFonts w:hint="eastAsia" w:ascii="宋体" w:hAnsi="宋体"/>
                <w:szCs w:val="21"/>
              </w:rPr>
              <w:t>审   核   记   录</w:t>
            </w:r>
          </w:p>
        </w:tc>
        <w:tc>
          <w:tcPr>
            <w:tcW w:w="1691"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楷体_GB2312" w:hAnsi="宋体" w:eastAsia="楷体_GB2312"/>
                <w:szCs w:val="21"/>
              </w:rPr>
            </w:pPr>
            <w:r>
              <w:rPr>
                <w:rFonts w:hint="eastAsia" w:ascii="宋体" w:hAnsi="宋体"/>
                <w:szCs w:val="21"/>
              </w:rPr>
              <w:t>条款号</w:t>
            </w:r>
          </w:p>
        </w:tc>
        <w:tc>
          <w:tcPr>
            <w:tcW w:w="918" w:type="dxa"/>
            <w:shd w:val="clear" w:color="auto" w:fill="E6E6E6"/>
            <w:vAlign w:val="center"/>
          </w:tcPr>
          <w:p>
            <w:pPr>
              <w:spacing w:line="0" w:lineRule="atLeast"/>
              <w:jc w:val="center"/>
              <w:rPr>
                <w:rFonts w:ascii="楷体_GB2312" w:hAnsi="宋体" w:eastAsia="楷体_GB2312"/>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545" w:type="dxa"/>
          </w:tcPr>
          <w:p>
            <w:pPr>
              <w:spacing w:line="400" w:lineRule="exact"/>
              <w:rPr>
                <w:szCs w:val="21"/>
              </w:rPr>
            </w:pPr>
            <w:r>
              <w:rPr>
                <w:rFonts w:hint="eastAsia"/>
                <w:szCs w:val="21"/>
              </w:rPr>
              <w:t>企业简介、组织机构及场所、资质</w:t>
            </w:r>
          </w:p>
          <w:p>
            <w:pPr>
              <w:spacing w:line="400" w:lineRule="exact"/>
              <w:rPr>
                <w:szCs w:val="21"/>
              </w:rPr>
            </w:pPr>
            <w:r>
              <w:rPr>
                <w:rFonts w:hint="eastAsia"/>
                <w:szCs w:val="21"/>
              </w:rPr>
              <w:t>审核，询问主要设备、原材料、关键过程</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rPr>
                <w:szCs w:val="21"/>
              </w:rPr>
            </w:pPr>
            <w:r>
              <w:rPr>
                <w:rFonts w:hint="eastAsia"/>
                <w:szCs w:val="21"/>
              </w:rPr>
              <w:t>（如部门设置和负责人，生产和服务等过程）</w:t>
            </w:r>
          </w:p>
          <w:p>
            <w:pPr>
              <w:spacing w:line="400" w:lineRule="exact"/>
              <w:rPr>
                <w:szCs w:val="21"/>
              </w:rPr>
            </w:pPr>
            <w:r>
              <w:rPr>
                <w:rFonts w:hint="eastAsia"/>
                <w:szCs w:val="21"/>
              </w:rPr>
              <w:t>管理体系文件名称</w:t>
            </w:r>
          </w:p>
        </w:tc>
        <w:tc>
          <w:tcPr>
            <w:tcW w:w="8172" w:type="dxa"/>
          </w:tcPr>
          <w:p>
            <w:pPr>
              <w:pStyle w:val="3"/>
              <w:spacing w:line="240" w:lineRule="auto"/>
              <w:ind w:firstLine="420" w:firstLineChars="200"/>
              <w:jc w:val="both"/>
              <w:rPr>
                <w:rFonts w:hAnsi="宋体" w:cs="Times New Roman"/>
                <w:sz w:val="21"/>
              </w:rPr>
            </w:pPr>
            <w:r>
              <w:rPr>
                <w:rFonts w:hint="eastAsia" w:hAnsi="宋体" w:cs="Times New Roman"/>
                <w:sz w:val="21"/>
              </w:rPr>
              <w:t>重庆佳坤土地规划有限公司主要经营重庆市各级土地利用总体规划和专项土地规划的编制、设计、咨询等业务（按资质证核定期限及范围从事经营）；土地整治与规划设计咨询；土地管理咨询；工程测量和地籍测绘咨询；代办国土手续；土地</w:t>
            </w:r>
            <w:r>
              <w:rPr>
                <w:rFonts w:hint="eastAsia" w:hAnsi="宋体" w:cs="Times New Roman"/>
                <w:sz w:val="21"/>
                <w:lang w:eastAsia="zh-CN"/>
              </w:rPr>
              <w:t>规划</w:t>
            </w:r>
            <w:r>
              <w:rPr>
                <w:rFonts w:hint="eastAsia" w:hAnsi="宋体" w:cs="Times New Roman"/>
                <w:sz w:val="21"/>
              </w:rPr>
              <w:t>咨询。</w:t>
            </w:r>
          </w:p>
          <w:p>
            <w:pPr>
              <w:spacing w:line="400" w:lineRule="exact"/>
              <w:ind w:firstLine="420" w:firstLineChars="200"/>
              <w:jc w:val="left"/>
              <w:rPr>
                <w:rFonts w:ascii="宋体" w:hAnsi="宋体"/>
                <w:szCs w:val="21"/>
              </w:rPr>
            </w:pPr>
            <w:r>
              <w:rPr>
                <w:rFonts w:hint="eastAsia" w:ascii="宋体" w:hAnsi="宋体"/>
                <w:szCs w:val="21"/>
              </w:rPr>
              <w:t>公司主要经营范围是：</w:t>
            </w:r>
            <w:r>
              <w:rPr>
                <w:rFonts w:hint="eastAsia"/>
                <w:lang w:eastAsia="zh-CN"/>
              </w:rPr>
              <w:t>土地利用总体规划及其专项规划的编制、设计（资质许可范围内）；地形测量（资质许可范围内）</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val="en-US" w:eastAsia="zh-CN"/>
              </w:rPr>
              <w:t>五</w:t>
            </w:r>
            <w:r>
              <w:rPr>
                <w:rFonts w:hint="eastAsia" w:ascii="宋体" w:hAnsi="宋体"/>
                <w:szCs w:val="21"/>
              </w:rPr>
              <w:t>个部门：</w:t>
            </w:r>
            <w:r>
              <w:rPr>
                <w:rFonts w:hint="eastAsia" w:ascii="宋体" w:hAnsi="宋体"/>
                <w:szCs w:val="21"/>
                <w:lang w:eastAsia="zh-CN"/>
              </w:rPr>
              <w:t>办公室</w:t>
            </w:r>
            <w:r>
              <w:rPr>
                <w:rFonts w:hint="eastAsia" w:ascii="宋体" w:hAnsi="宋体"/>
                <w:szCs w:val="21"/>
              </w:rPr>
              <w:t>、业务部、</w:t>
            </w:r>
            <w:r>
              <w:rPr>
                <w:rFonts w:hint="eastAsia" w:ascii="宋体" w:hAnsi="宋体"/>
                <w:szCs w:val="21"/>
                <w:lang w:eastAsia="zh-CN"/>
              </w:rPr>
              <w:t>测绘部</w:t>
            </w:r>
            <w:r>
              <w:rPr>
                <w:rFonts w:hint="eastAsia" w:ascii="宋体" w:hAnsi="宋体"/>
                <w:szCs w:val="21"/>
              </w:rPr>
              <w:t>、</w:t>
            </w:r>
            <w:r>
              <w:rPr>
                <w:rFonts w:hint="eastAsia" w:ascii="宋体" w:hAnsi="宋体"/>
                <w:szCs w:val="21"/>
                <w:lang w:val="en-US" w:eastAsia="zh-CN"/>
              </w:rPr>
              <w:t>规划设计部、</w:t>
            </w:r>
            <w:r>
              <w:rPr>
                <w:rFonts w:hint="eastAsia" w:ascii="宋体" w:hAnsi="宋体"/>
                <w:szCs w:val="21"/>
              </w:rPr>
              <w:t>财务部。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400" w:lineRule="exact"/>
              <w:ind w:firstLine="420" w:firstLineChars="200"/>
              <w:jc w:val="left"/>
              <w:rPr>
                <w:rFonts w:ascii="宋体" w:hAnsi="宋体"/>
                <w:szCs w:val="21"/>
              </w:rPr>
            </w:pPr>
            <w:r>
              <w:rPr>
                <w:rFonts w:hint="eastAsia" w:ascii="宋体" w:hAnsi="宋体"/>
                <w:szCs w:val="21"/>
              </w:rPr>
              <w:t>核实</w:t>
            </w:r>
            <w:r>
              <w:rPr>
                <w:rFonts w:hint="eastAsia" w:ascii="宋体" w:hAnsi="宋体"/>
                <w:szCs w:val="21"/>
                <w:lang w:val="de-DE"/>
              </w:rPr>
              <w:t>生产经营地址</w:t>
            </w:r>
            <w:r>
              <w:rPr>
                <w:rFonts w:hint="eastAsia" w:ascii="宋体" w:hAnsi="宋体"/>
                <w:szCs w:val="21"/>
              </w:rPr>
              <w:t>：</w:t>
            </w:r>
            <w:bookmarkStart w:id="0" w:name="生产地址"/>
            <w:r>
              <w:t>重庆市渝中区新四路9号甲单元19-1＃19-2＃20-1＃</w:t>
            </w:r>
            <w:bookmarkEnd w:id="0"/>
            <w:r>
              <w:rPr>
                <w:rFonts w:hint="eastAsia" w:ascii="宋体" w:hAnsi="宋体"/>
                <w:szCs w:val="21"/>
              </w:rPr>
              <w:t>，</w:t>
            </w:r>
            <w:r>
              <w:rPr>
                <w:rFonts w:hint="eastAsia" w:ascii="宋体" w:hAnsi="宋体"/>
                <w:szCs w:val="21"/>
                <w:lang w:val="de-DE"/>
              </w:rPr>
              <w:t>与任务书一致。</w:t>
            </w:r>
          </w:p>
          <w:p>
            <w:pPr>
              <w:spacing w:line="400" w:lineRule="exact"/>
              <w:ind w:firstLine="420" w:firstLineChars="200"/>
              <w:jc w:val="left"/>
              <w:rPr>
                <w:rFonts w:ascii="宋体" w:hAnsi="宋体"/>
                <w:szCs w:val="21"/>
              </w:rPr>
            </w:pPr>
            <w:r>
              <w:rPr>
                <w:rFonts w:hint="eastAsia" w:ascii="宋体" w:hAnsi="宋体"/>
                <w:szCs w:val="21"/>
              </w:rPr>
              <w:t>认证范围为：</w:t>
            </w:r>
          </w:p>
          <w:p>
            <w:pPr>
              <w:rPr>
                <w:rFonts w:hint="eastAsia" w:eastAsia="宋体"/>
                <w:color w:val="000000"/>
                <w:szCs w:val="21"/>
                <w:lang w:eastAsia="zh-CN"/>
              </w:rPr>
            </w:pPr>
            <w:bookmarkStart w:id="1" w:name="审核范围"/>
            <w:r>
              <w:rPr>
                <w:rFonts w:hint="eastAsia" w:ascii="宋体" w:hAnsi="宋体"/>
                <w:szCs w:val="21"/>
              </w:rPr>
              <w:t>Q：</w:t>
            </w:r>
            <w:r>
              <w:rPr>
                <w:rFonts w:hint="eastAsia" w:ascii="宋体" w:hAnsi="宋体"/>
                <w:szCs w:val="21"/>
                <w:lang w:eastAsia="zh-CN"/>
              </w:rPr>
              <w:t>土地利用总体规划及其专项规划的编制、设计（资质许可范围内）；地形测量（资质许可范围内）</w:t>
            </w:r>
          </w:p>
          <w:p>
            <w:pPr>
              <w:rPr>
                <w:rFonts w:ascii="宋体" w:hAnsi="宋体"/>
                <w:szCs w:val="21"/>
              </w:rPr>
            </w:pPr>
            <w:r>
              <w:rPr>
                <w:rFonts w:hint="eastAsia" w:ascii="宋体" w:hAnsi="宋体"/>
                <w:szCs w:val="21"/>
              </w:rPr>
              <w:t>E：</w:t>
            </w:r>
            <w:r>
              <w:rPr>
                <w:rFonts w:hint="eastAsia" w:ascii="宋体" w:hAnsi="宋体"/>
                <w:szCs w:val="21"/>
                <w:lang w:eastAsia="zh-CN"/>
              </w:rPr>
              <w:t>土地利用总体规划及其专项规划的编制、设计（资质许可范围内）；地形测量（资质许可范围内）</w:t>
            </w:r>
            <w:r>
              <w:rPr>
                <w:rFonts w:hint="eastAsia" w:ascii="宋体" w:hAnsi="宋体"/>
                <w:szCs w:val="21"/>
              </w:rPr>
              <w:t>所涉及的相关环境管理活动</w:t>
            </w:r>
          </w:p>
          <w:p>
            <w:pPr>
              <w:rPr>
                <w:rFonts w:ascii="宋体" w:hAnsi="宋体"/>
                <w:szCs w:val="21"/>
              </w:rPr>
            </w:pPr>
            <w:r>
              <w:rPr>
                <w:rFonts w:hint="eastAsia" w:ascii="宋体" w:hAnsi="宋体"/>
                <w:szCs w:val="21"/>
              </w:rPr>
              <w:t>O：</w:t>
            </w:r>
            <w:r>
              <w:rPr>
                <w:rFonts w:hint="eastAsia" w:ascii="宋体" w:hAnsi="宋体"/>
                <w:szCs w:val="21"/>
                <w:lang w:eastAsia="zh-CN"/>
              </w:rPr>
              <w:t>土地利用总体规划及其专项规划的编制、设计（资质许可范围内）；地形测量（资质许可范围内）</w:t>
            </w:r>
            <w:r>
              <w:rPr>
                <w:rFonts w:hint="eastAsia" w:ascii="宋体" w:hAnsi="宋体"/>
                <w:szCs w:val="21"/>
              </w:rPr>
              <w:t>所涉及的相关职业健康安全管理活动</w:t>
            </w:r>
            <w:bookmarkEnd w:id="1"/>
            <w:r>
              <w:rPr>
                <w:rFonts w:hint="eastAsia" w:ascii="宋体" w:hAnsi="宋体"/>
                <w:szCs w:val="21"/>
              </w:rPr>
              <w:t xml:space="preserve"> </w:t>
            </w:r>
          </w:p>
          <w:p>
            <w:pPr>
              <w:rPr>
                <w:rFonts w:ascii="宋体" w:hAnsi="宋体"/>
                <w:szCs w:val="21"/>
              </w:rPr>
            </w:pPr>
            <w:r>
              <w:rPr>
                <w:rFonts w:hint="eastAsia" w:ascii="宋体" w:hAnsi="宋体"/>
                <w:szCs w:val="21"/>
              </w:rPr>
              <w:t>询问，主要设备为办公设备和测量设备等；</w:t>
            </w:r>
          </w:p>
          <w:p>
            <w:pPr>
              <w:rPr>
                <w:rFonts w:ascii="宋体" w:hAnsi="宋体"/>
                <w:szCs w:val="21"/>
              </w:rPr>
            </w:pPr>
            <w:r>
              <w:rPr>
                <w:rFonts w:hint="eastAsia" w:ascii="宋体" w:hAnsi="宋体"/>
                <w:szCs w:val="21"/>
              </w:rPr>
              <w:t>关键</w:t>
            </w:r>
            <w:r>
              <w:rPr>
                <w:rFonts w:hint="eastAsia" w:ascii="宋体" w:hAnsi="宋体"/>
                <w:szCs w:val="21"/>
                <w:lang w:val="en-US" w:eastAsia="zh-CN"/>
              </w:rPr>
              <w:t>/确认</w:t>
            </w:r>
            <w:r>
              <w:rPr>
                <w:rFonts w:hint="eastAsia" w:ascii="宋体" w:hAnsi="宋体"/>
                <w:szCs w:val="21"/>
              </w:rPr>
              <w:t>过程：</w:t>
            </w:r>
            <w:r>
              <w:rPr>
                <w:rFonts w:hint="eastAsia"/>
                <w:b w:val="0"/>
                <w:bCs/>
                <w:sz w:val="20"/>
              </w:rPr>
              <w:t>土地规划设计过程</w:t>
            </w:r>
            <w:r>
              <w:rPr>
                <w:rFonts w:hint="eastAsia" w:ascii="宋体" w:hAnsi="宋体"/>
                <w:szCs w:val="21"/>
              </w:rPr>
              <w:t>。</w:t>
            </w:r>
          </w:p>
          <w:p>
            <w:pPr>
              <w:ind w:firstLine="420" w:firstLineChars="200"/>
              <w:rPr>
                <w:rFonts w:ascii="宋体" w:hAnsi="宋体"/>
                <w:szCs w:val="21"/>
              </w:rPr>
            </w:pPr>
            <w:r>
              <w:rPr>
                <w:rFonts w:hint="eastAsia" w:ascii="宋体" w:hAnsi="宋体"/>
                <w:szCs w:val="21"/>
                <w:lang w:val="en-US" w:eastAsia="zh-CN"/>
              </w:rPr>
              <w:t>管</w:t>
            </w:r>
            <w:r>
              <w:rPr>
                <w:rFonts w:hint="eastAsia" w:ascii="宋体" w:hAnsi="宋体"/>
                <w:szCs w:val="21"/>
              </w:rPr>
              <w:t>理体系运行时间：2020年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p>
          <w:p>
            <w:pPr>
              <w:spacing w:line="400" w:lineRule="exact"/>
              <w:ind w:firstLine="480"/>
              <w:rPr>
                <w:rFonts w:ascii="宋体" w:hAnsi="宋体"/>
                <w:szCs w:val="21"/>
              </w:rPr>
            </w:pPr>
            <w:r>
              <w:rPr>
                <w:rFonts w:hint="eastAsia"/>
                <w:szCs w:val="21"/>
              </w:rPr>
              <w:t>组织实际与管理体系文件化信息描述基本一致。</w:t>
            </w:r>
            <w:r>
              <w:rPr>
                <w:rFonts w:hint="eastAsia" w:ascii="宋体" w:hAnsi="宋体"/>
                <w:szCs w:val="21"/>
              </w:rPr>
              <w:t>有管理层、</w:t>
            </w:r>
            <w:r>
              <w:rPr>
                <w:rFonts w:hint="eastAsia" w:ascii="宋体" w:hAnsi="宋体"/>
                <w:szCs w:val="21"/>
                <w:lang w:eastAsia="zh-CN"/>
              </w:rPr>
              <w:t>办公室</w:t>
            </w:r>
            <w:r>
              <w:rPr>
                <w:rFonts w:hint="eastAsia" w:ascii="宋体" w:hAnsi="宋体"/>
                <w:szCs w:val="21"/>
              </w:rPr>
              <w:t>、业务部、</w:t>
            </w:r>
            <w:r>
              <w:rPr>
                <w:rFonts w:hint="eastAsia" w:ascii="宋体" w:hAnsi="宋体"/>
                <w:szCs w:val="21"/>
                <w:lang w:eastAsia="zh-CN"/>
              </w:rPr>
              <w:t>测绘部</w:t>
            </w:r>
            <w:r>
              <w:rPr>
                <w:rFonts w:hint="eastAsia" w:ascii="宋体" w:hAnsi="宋体"/>
                <w:szCs w:val="21"/>
              </w:rPr>
              <w:t>、</w:t>
            </w:r>
            <w:r>
              <w:rPr>
                <w:rFonts w:hint="eastAsia" w:ascii="宋体" w:hAnsi="宋体"/>
                <w:szCs w:val="21"/>
                <w:lang w:val="en-US" w:eastAsia="zh-CN"/>
              </w:rPr>
              <w:t>规划设计部、</w:t>
            </w:r>
            <w:r>
              <w:rPr>
                <w:rFonts w:hint="eastAsia" w:ascii="宋体" w:hAnsi="宋体"/>
                <w:szCs w:val="21"/>
              </w:rPr>
              <w:t>财务部。</w:t>
            </w:r>
          </w:p>
          <w:p>
            <w:pPr>
              <w:spacing w:line="400" w:lineRule="exact"/>
              <w:rPr>
                <w:rFonts w:ascii="宋体" w:hAnsi="宋体"/>
                <w:color w:val="000000"/>
                <w:szCs w:val="21"/>
              </w:rPr>
            </w:pPr>
          </w:p>
          <w:p>
            <w:pPr>
              <w:spacing w:line="400" w:lineRule="exact"/>
              <w:rPr>
                <w:szCs w:val="21"/>
              </w:rPr>
            </w:pPr>
            <w:r>
              <w:rPr>
                <w:rFonts w:hint="eastAsia" w:ascii="宋体" w:hAnsi="宋体"/>
                <w:color w:val="000000"/>
                <w:szCs w:val="21"/>
              </w:rPr>
              <w:t>查，</w:t>
            </w:r>
            <w:r>
              <w:rPr>
                <w:rFonts w:hint="eastAsia"/>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w:t>
            </w:r>
            <w:r>
              <w:rPr>
                <w:rFonts w:hint="eastAsia" w:ascii="宋体" w:hAnsi="宋体"/>
                <w:kern w:val="44"/>
                <w:szCs w:val="21"/>
                <w:lang w:val="en-US" w:eastAsia="zh-CN"/>
              </w:rPr>
              <w:t>31</w:t>
            </w:r>
            <w:r>
              <w:rPr>
                <w:rFonts w:hint="eastAsia" w:ascii="宋体" w:hAnsi="宋体"/>
                <w:kern w:val="44"/>
                <w:szCs w:val="21"/>
              </w:rPr>
              <w:t>个。</w:t>
            </w:r>
          </w:p>
        </w:tc>
        <w:tc>
          <w:tcPr>
            <w:tcW w:w="1691" w:type="dxa"/>
            <w:vAlign w:val="top"/>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918" w:type="dxa"/>
            <w:vAlign w:val="top"/>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3545" w:type="dxa"/>
          </w:tcPr>
          <w:p>
            <w:pPr>
              <w:spacing w:line="400" w:lineRule="exact"/>
              <w:rPr>
                <w:szCs w:val="21"/>
              </w:rPr>
            </w:pPr>
            <w:r>
              <w:rPr>
                <w:rFonts w:hint="eastAsia"/>
                <w:szCs w:val="21"/>
              </w:rPr>
              <w:t>相关法规</w:t>
            </w:r>
          </w:p>
          <w:p>
            <w:pPr>
              <w:spacing w:line="400" w:lineRule="exact"/>
              <w:rPr>
                <w:szCs w:val="21"/>
              </w:rPr>
            </w:pPr>
          </w:p>
          <w:p>
            <w:pPr>
              <w:spacing w:line="400" w:lineRule="exact"/>
              <w:rPr>
                <w:szCs w:val="21"/>
              </w:rPr>
            </w:pPr>
          </w:p>
          <w:p>
            <w:pPr>
              <w:spacing w:line="400" w:lineRule="exact"/>
              <w:rPr>
                <w:szCs w:val="21"/>
              </w:rPr>
            </w:pPr>
            <w:r>
              <w:rPr>
                <w:rFonts w:hint="eastAsia"/>
                <w:szCs w:val="21"/>
              </w:rPr>
              <w:t>环评报告及环评验收</w:t>
            </w:r>
          </w:p>
          <w:p>
            <w:pPr>
              <w:spacing w:line="400" w:lineRule="exact"/>
              <w:rPr>
                <w:szCs w:val="21"/>
              </w:rPr>
            </w:pPr>
          </w:p>
          <w:p>
            <w:pPr>
              <w:spacing w:line="400" w:lineRule="exact"/>
              <w:rPr>
                <w:szCs w:val="21"/>
              </w:rPr>
            </w:pPr>
            <w:r>
              <w:rPr>
                <w:rFonts w:hint="eastAsia"/>
                <w:szCs w:val="21"/>
              </w:rPr>
              <w:t>安评报告及安评验收</w:t>
            </w:r>
          </w:p>
          <w:p>
            <w:pPr>
              <w:spacing w:line="400" w:lineRule="exact"/>
              <w:rPr>
                <w:szCs w:val="21"/>
              </w:rPr>
            </w:pPr>
          </w:p>
          <w:p>
            <w:pPr>
              <w:spacing w:line="400" w:lineRule="exact"/>
              <w:rPr>
                <w:szCs w:val="21"/>
              </w:rPr>
            </w:pPr>
            <w:r>
              <w:rPr>
                <w:rFonts w:hint="eastAsia"/>
                <w:szCs w:val="21"/>
              </w:rPr>
              <w:t>执行的产品标准（QMS）</w:t>
            </w:r>
          </w:p>
          <w:p>
            <w:pPr>
              <w:spacing w:line="400" w:lineRule="exact"/>
              <w:rPr>
                <w:szCs w:val="21"/>
              </w:rPr>
            </w:pPr>
          </w:p>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执行的排污标准（EMS）</w:t>
            </w:r>
          </w:p>
          <w:p>
            <w:pPr>
              <w:spacing w:line="400" w:lineRule="exact"/>
              <w:rPr>
                <w:szCs w:val="21"/>
              </w:rPr>
            </w:pPr>
          </w:p>
          <w:p>
            <w:pPr>
              <w:spacing w:line="400" w:lineRule="exact"/>
              <w:rPr>
                <w:szCs w:val="21"/>
              </w:rPr>
            </w:pPr>
          </w:p>
          <w:p>
            <w:pPr>
              <w:spacing w:line="400" w:lineRule="exact"/>
              <w:rPr>
                <w:szCs w:val="21"/>
              </w:rPr>
            </w:pPr>
            <w:r>
              <w:rPr>
                <w:rFonts w:hint="eastAsia"/>
                <w:szCs w:val="21"/>
              </w:rPr>
              <w:t>执行的安全法规（OHSMS）</w:t>
            </w:r>
          </w:p>
          <w:p>
            <w:pPr>
              <w:spacing w:line="400" w:lineRule="exact"/>
              <w:rPr>
                <w:rFonts w:hint="eastAsia"/>
                <w:szCs w:val="21"/>
              </w:rPr>
            </w:pPr>
          </w:p>
          <w:p>
            <w:pPr>
              <w:spacing w:line="400" w:lineRule="exact"/>
              <w:rPr>
                <w:szCs w:val="21"/>
              </w:rPr>
            </w:pPr>
            <w:r>
              <w:rPr>
                <w:rFonts w:hint="eastAsia"/>
                <w:szCs w:val="21"/>
              </w:rPr>
              <w:t xml:space="preserve">合规性评价报告 </w:t>
            </w:r>
          </w:p>
          <w:p>
            <w:pPr>
              <w:spacing w:line="400" w:lineRule="exact"/>
              <w:rPr>
                <w:szCs w:val="21"/>
              </w:rPr>
            </w:pPr>
            <w:r>
              <w:rPr>
                <w:rFonts w:hint="eastAsia"/>
                <w:szCs w:val="21"/>
              </w:rPr>
              <w:t>环境相关监测报告（EMS）</w:t>
            </w:r>
          </w:p>
          <w:p>
            <w:pPr>
              <w:spacing w:line="400" w:lineRule="exact"/>
              <w:rPr>
                <w:szCs w:val="21"/>
              </w:rPr>
            </w:pPr>
            <w:r>
              <w:rPr>
                <w:rFonts w:hint="eastAsia"/>
                <w:szCs w:val="21"/>
              </w:rPr>
              <w:t>职业健康相关监测报告（OHSMS）</w:t>
            </w:r>
          </w:p>
          <w:p>
            <w:pPr>
              <w:spacing w:line="400" w:lineRule="exact"/>
              <w:rPr>
                <w:szCs w:val="21"/>
              </w:rPr>
            </w:pPr>
            <w:r>
              <w:rPr>
                <w:rFonts w:hint="eastAsia"/>
                <w:szCs w:val="21"/>
              </w:rPr>
              <w:t>产品质量监督抽查情况（QMS）</w:t>
            </w:r>
          </w:p>
        </w:tc>
        <w:tc>
          <w:tcPr>
            <w:tcW w:w="8172" w:type="dxa"/>
          </w:tcPr>
          <w:p>
            <w:pPr>
              <w:spacing w:line="400" w:lineRule="exact"/>
              <w:rPr>
                <w:szCs w:val="21"/>
              </w:rPr>
            </w:pPr>
            <w:r>
              <w:rPr>
                <w:rFonts w:hint="eastAsia" w:ascii="宋体" w:hAnsi="宋体"/>
                <w:szCs w:val="21"/>
              </w:rPr>
              <w:t>中华人民共和国合同法、中华人民共和国劳动法、中华人民共和国安全消防法、</w:t>
            </w:r>
            <w:r>
              <w:rPr>
                <w:rFonts w:hint="eastAsia" w:ascii="宋体" w:hAnsi="宋体"/>
                <w:color w:val="000000"/>
                <w:szCs w:val="21"/>
              </w:rPr>
              <w:t>中华人民共和国劳动合同法、</w:t>
            </w: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ascii="宋体" w:hAnsi="宋体" w:cs="宋体"/>
                <w:color w:val="000000"/>
                <w:szCs w:val="21"/>
              </w:rPr>
              <w:t>中华人民共和国安全生产法</w:t>
            </w:r>
            <w:r>
              <w:rPr>
                <w:rFonts w:hint="eastAsia" w:ascii="宋体" w:hAnsi="宋体"/>
                <w:szCs w:val="21"/>
              </w:rPr>
              <w:t>等</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w:t>
            </w:r>
          </w:p>
          <w:p>
            <w:pPr>
              <w:spacing w:line="400" w:lineRule="exact"/>
              <w:rPr>
                <w:rFonts w:ascii="宋体" w:hAnsi="宋体"/>
                <w:szCs w:val="21"/>
              </w:rPr>
            </w:pPr>
          </w:p>
          <w:p>
            <w:pPr>
              <w:rPr>
                <w:rFonts w:hint="eastAsia" w:ascii="宋体" w:hAnsi="宋体" w:eastAsia="宋体"/>
                <w:szCs w:val="21"/>
                <w:lang w:eastAsia="zh-CN"/>
              </w:rPr>
            </w:pPr>
            <w:r>
              <w:rPr>
                <w:rFonts w:hint="eastAsia"/>
                <w:b w:val="0"/>
                <w:bCs/>
                <w:sz w:val="20"/>
                <w:szCs w:val="22"/>
              </w:rPr>
              <w:t>1、《中华人民共和国土地管理法》</w:t>
            </w:r>
            <w:r>
              <w:rPr>
                <w:rFonts w:hint="eastAsia"/>
                <w:b w:val="0"/>
                <w:bCs/>
                <w:sz w:val="20"/>
                <w:szCs w:val="22"/>
                <w:lang w:val="en-US" w:eastAsia="zh-CN"/>
              </w:rPr>
              <w:t>；</w:t>
            </w:r>
            <w:r>
              <w:rPr>
                <w:rFonts w:hint="eastAsia"/>
                <w:b w:val="0"/>
                <w:bCs/>
                <w:sz w:val="20"/>
                <w:szCs w:val="22"/>
              </w:rPr>
              <w:t>2、《土地利用总体规划管理办法》</w:t>
            </w:r>
            <w:r>
              <w:rPr>
                <w:rFonts w:hint="eastAsia"/>
                <w:b w:val="0"/>
                <w:bCs/>
                <w:sz w:val="20"/>
                <w:szCs w:val="22"/>
                <w:lang w:val="en-US" w:eastAsia="zh-CN"/>
              </w:rPr>
              <w:t>；</w:t>
            </w:r>
            <w:r>
              <w:rPr>
                <w:rFonts w:hint="eastAsia"/>
                <w:b w:val="0"/>
                <w:bCs/>
                <w:sz w:val="20"/>
                <w:szCs w:val="22"/>
              </w:rPr>
              <w:t>3、《乡镇土地利用总体规划（2006-2020年）》</w:t>
            </w:r>
            <w:r>
              <w:rPr>
                <w:rFonts w:hint="eastAsia"/>
                <w:b w:val="0"/>
                <w:bCs/>
                <w:sz w:val="20"/>
                <w:szCs w:val="22"/>
                <w:lang w:val="en-US" w:eastAsia="zh-CN"/>
              </w:rPr>
              <w:t>；</w:t>
            </w:r>
            <w:r>
              <w:rPr>
                <w:rFonts w:hint="eastAsia"/>
                <w:b w:val="0"/>
                <w:bCs/>
                <w:sz w:val="20"/>
                <w:szCs w:val="22"/>
              </w:rPr>
              <w:t>4、GB/T 14912-2005《1：500 1：1000 1：2000外业数字测图技术规程》</w:t>
            </w:r>
            <w:r>
              <w:rPr>
                <w:rFonts w:hint="eastAsia"/>
                <w:b w:val="0"/>
                <w:bCs/>
                <w:sz w:val="20"/>
                <w:szCs w:val="22"/>
                <w:lang w:val="en-US" w:eastAsia="zh-CN"/>
              </w:rPr>
              <w:t>；</w:t>
            </w:r>
            <w:r>
              <w:rPr>
                <w:rFonts w:hint="eastAsia"/>
                <w:b w:val="0"/>
                <w:bCs/>
                <w:sz w:val="20"/>
                <w:szCs w:val="22"/>
              </w:rPr>
              <w:t>5、GB/12898-91《国家三、四等水准测量规范》</w:t>
            </w:r>
            <w:r>
              <w:rPr>
                <w:rFonts w:hint="eastAsia"/>
                <w:b w:val="0"/>
                <w:bCs/>
                <w:sz w:val="20"/>
                <w:szCs w:val="22"/>
                <w:lang w:val="en-US" w:eastAsia="zh-CN"/>
              </w:rPr>
              <w:t>；</w:t>
            </w:r>
            <w:r>
              <w:rPr>
                <w:rFonts w:hint="eastAsia"/>
                <w:b w:val="0"/>
                <w:bCs/>
                <w:sz w:val="20"/>
                <w:szCs w:val="22"/>
              </w:rPr>
              <w:t>6、TD/T 1014—2007《第二次全国土地调查技术规程》</w:t>
            </w:r>
            <w:r>
              <w:rPr>
                <w:rFonts w:hint="eastAsia"/>
                <w:b w:val="0"/>
                <w:bCs/>
                <w:sz w:val="20"/>
                <w:szCs w:val="22"/>
                <w:lang w:val="en-US" w:eastAsia="zh-CN"/>
              </w:rPr>
              <w:t>；</w:t>
            </w:r>
            <w:r>
              <w:rPr>
                <w:rFonts w:hint="eastAsia"/>
                <w:b w:val="0"/>
                <w:bCs/>
                <w:sz w:val="20"/>
                <w:szCs w:val="22"/>
              </w:rPr>
              <w:t>7、GB/T 7930-2008《1:500、1:1000、1:2000地形图航空摄影测量内业规范》</w:t>
            </w:r>
            <w:r>
              <w:rPr>
                <w:rFonts w:hint="eastAsia"/>
                <w:b w:val="0"/>
                <w:bCs/>
                <w:sz w:val="20"/>
                <w:szCs w:val="22"/>
                <w:lang w:val="en-US" w:eastAsia="zh-CN"/>
              </w:rPr>
              <w:t>；8</w:t>
            </w:r>
            <w:r>
              <w:rPr>
                <w:rFonts w:hint="eastAsia"/>
                <w:b w:val="0"/>
                <w:bCs/>
                <w:sz w:val="20"/>
                <w:szCs w:val="22"/>
              </w:rPr>
              <w:t>、GB/T 7931-2008《1:500、1:1000、1:2000地形图航空摄影测量外业规范》</w:t>
            </w:r>
            <w:r>
              <w:rPr>
                <w:rFonts w:hint="eastAsia"/>
                <w:b w:val="0"/>
                <w:bCs/>
                <w:sz w:val="20"/>
                <w:szCs w:val="22"/>
                <w:lang w:val="en-US" w:eastAsia="zh-CN"/>
              </w:rPr>
              <w:t>等</w:t>
            </w:r>
            <w:r>
              <w:rPr>
                <w:rFonts w:hint="eastAsia"/>
                <w:b w:val="0"/>
                <w:bCs/>
                <w:sz w:val="20"/>
                <w:szCs w:val="22"/>
                <w:lang w:eastAsia="zh-CN"/>
              </w:rPr>
              <w:t>。</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ascii="宋体" w:hAnsi="宋体"/>
                <w:szCs w:val="21"/>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）、大气污染物综合排放标准（</w:t>
            </w:r>
            <w:r>
              <w:rPr>
                <w:rFonts w:ascii="宋体" w:hAnsi="宋体"/>
                <w:szCs w:val="21"/>
              </w:rPr>
              <w:t>GB 16297-1996</w:t>
            </w:r>
            <w:r>
              <w:rPr>
                <w:rFonts w:hint="eastAsia" w:ascii="宋体" w:hAnsi="宋体"/>
                <w:szCs w:val="21"/>
              </w:rPr>
              <w:t>）</w:t>
            </w:r>
          </w:p>
          <w:p>
            <w:pPr>
              <w:spacing w:line="400" w:lineRule="exact"/>
              <w:rPr>
                <w:szCs w:val="21"/>
              </w:rPr>
            </w:pPr>
          </w:p>
          <w:p>
            <w:pPr>
              <w:spacing w:line="400" w:lineRule="exact"/>
              <w:rPr>
                <w:szCs w:val="21"/>
              </w:rPr>
            </w:pPr>
            <w:r>
              <w:rPr>
                <w:rFonts w:hint="eastAsia" w:ascii="宋体" w:hAnsi="宋体"/>
                <w:szCs w:val="21"/>
              </w:rPr>
              <w:t>中华人民共和国安全消防法、</w:t>
            </w:r>
            <w:r>
              <w:rPr>
                <w:rFonts w:hint="eastAsia" w:ascii="宋体" w:hAnsi="宋体"/>
                <w:color w:val="000000"/>
                <w:szCs w:val="21"/>
              </w:rPr>
              <w:t>中华人民共和国劳动合同法、</w:t>
            </w:r>
            <w:r>
              <w:rPr>
                <w:rFonts w:hint="eastAsia" w:ascii="宋体" w:hAnsi="宋体" w:cs="宋体"/>
                <w:color w:val="000000"/>
                <w:szCs w:val="21"/>
              </w:rPr>
              <w:t>中华人民共和国安全生产法等</w:t>
            </w:r>
          </w:p>
          <w:p>
            <w:pPr>
              <w:spacing w:line="400" w:lineRule="exact"/>
              <w:rPr>
                <w:szCs w:val="21"/>
              </w:rPr>
            </w:pPr>
            <w:r>
              <w:rPr>
                <w:rFonts w:hint="eastAsia"/>
                <w:szCs w:val="21"/>
              </w:rPr>
              <w:t>2020年</w:t>
            </w:r>
            <w:r>
              <w:rPr>
                <w:rFonts w:hint="eastAsia"/>
                <w:szCs w:val="21"/>
                <w:lang w:val="en-US" w:eastAsia="zh-CN"/>
              </w:rPr>
              <w:t>7</w:t>
            </w:r>
            <w:r>
              <w:rPr>
                <w:rFonts w:hint="eastAsia"/>
                <w:szCs w:val="21"/>
              </w:rPr>
              <w:t>月</w:t>
            </w:r>
            <w:r>
              <w:rPr>
                <w:rFonts w:hint="eastAsia"/>
                <w:szCs w:val="21"/>
                <w:lang w:val="en-US" w:eastAsia="zh-CN"/>
              </w:rPr>
              <w:t>10</w:t>
            </w:r>
            <w:r>
              <w:rPr>
                <w:rFonts w:hint="eastAsia"/>
                <w:szCs w:val="21"/>
              </w:rPr>
              <w:t>日进行了合规性评价</w:t>
            </w:r>
          </w:p>
          <w:p>
            <w:pPr>
              <w:spacing w:line="400" w:lineRule="exact"/>
              <w:rPr>
                <w:szCs w:val="21"/>
              </w:rPr>
            </w:pPr>
            <w:r>
              <w:rPr>
                <w:rFonts w:hint="eastAsia"/>
                <w:szCs w:val="21"/>
              </w:rPr>
              <w:t>无</w:t>
            </w:r>
          </w:p>
          <w:p>
            <w:pPr>
              <w:spacing w:line="400" w:lineRule="exact"/>
              <w:rPr>
                <w:szCs w:val="21"/>
              </w:rPr>
            </w:pPr>
            <w:r>
              <w:rPr>
                <w:rFonts w:hint="eastAsia"/>
                <w:szCs w:val="21"/>
              </w:rPr>
              <w:t>无</w:t>
            </w:r>
          </w:p>
          <w:p>
            <w:pPr>
              <w:spacing w:line="400" w:lineRule="exact"/>
              <w:rPr>
                <w:szCs w:val="21"/>
              </w:rPr>
            </w:pPr>
            <w:r>
              <w:rPr>
                <w:rFonts w:hint="eastAsia"/>
                <w:szCs w:val="21"/>
              </w:rPr>
              <w:t>无质量监督抽查。</w:t>
            </w:r>
          </w:p>
        </w:tc>
        <w:tc>
          <w:tcPr>
            <w:tcW w:w="1691" w:type="dxa"/>
            <w:vAlign w:val="top"/>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tc>
        <w:tc>
          <w:tcPr>
            <w:tcW w:w="918" w:type="dxa"/>
            <w:vAlign w:val="top"/>
          </w:tcPr>
          <w:p>
            <w:pPr>
              <w:spacing w:line="400" w:lineRule="exact"/>
            </w:pPr>
            <w:r>
              <w:rPr>
                <w:rFonts w:hint="eastAsia"/>
              </w:rPr>
              <w:t>符合</w:t>
            </w: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rPr>
                <w:lang w:val="en-US" w:eastAsia="zh-CN"/>
              </w:rPr>
            </w:pPr>
          </w:p>
          <w:p>
            <w:pPr>
              <w:pStyle w:val="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4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szCs w:val="21"/>
              </w:rPr>
            </w:pPr>
            <w:r>
              <w:rPr>
                <w:rFonts w:hint="eastAsia"/>
                <w:szCs w:val="21"/>
              </w:rPr>
              <w:t>工艺流程</w:t>
            </w:r>
          </w:p>
          <w:p>
            <w:pPr>
              <w:keepNext w:val="0"/>
              <w:keepLines w:val="0"/>
              <w:pageBreakBefore w:val="0"/>
              <w:widowControl w:val="0"/>
              <w:kinsoku/>
              <w:wordWrap/>
              <w:overflowPunct/>
              <w:topLinePunct w:val="0"/>
              <w:autoSpaceDE/>
              <w:autoSpaceDN/>
              <w:bidi w:val="0"/>
              <w:adjustRightInd/>
              <w:snapToGrid/>
              <w:spacing w:line="440" w:lineRule="exact"/>
              <w:textAlignment w:val="auto"/>
              <w:rPr>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szCs w:val="21"/>
              </w:rPr>
            </w:pPr>
            <w:r>
              <w:rPr>
                <w:rFonts w:hint="eastAsia"/>
                <w:szCs w:val="21"/>
              </w:rPr>
              <w:t>不适用条款的确认</w:t>
            </w:r>
          </w:p>
          <w:p>
            <w:pPr>
              <w:keepNext w:val="0"/>
              <w:keepLines w:val="0"/>
              <w:pageBreakBefore w:val="0"/>
              <w:widowControl w:val="0"/>
              <w:kinsoku/>
              <w:wordWrap/>
              <w:overflowPunct/>
              <w:topLinePunct w:val="0"/>
              <w:autoSpaceDE/>
              <w:autoSpaceDN/>
              <w:bidi w:val="0"/>
              <w:adjustRightInd/>
              <w:snapToGrid/>
              <w:spacing w:line="440" w:lineRule="exact"/>
              <w:textAlignment w:val="auto"/>
              <w:rPr>
                <w:szCs w:val="21"/>
              </w:rPr>
            </w:pPr>
            <w:r>
              <w:rPr>
                <w:rFonts w:hint="eastAsia"/>
                <w:szCs w:val="21"/>
              </w:rPr>
              <w:t>外包的识别</w:t>
            </w:r>
          </w:p>
          <w:p>
            <w:pPr>
              <w:keepNext w:val="0"/>
              <w:keepLines w:val="0"/>
              <w:pageBreakBefore w:val="0"/>
              <w:widowControl w:val="0"/>
              <w:kinsoku/>
              <w:wordWrap/>
              <w:overflowPunct/>
              <w:topLinePunct w:val="0"/>
              <w:autoSpaceDE/>
              <w:autoSpaceDN/>
              <w:bidi w:val="0"/>
              <w:adjustRightInd/>
              <w:snapToGrid/>
              <w:spacing w:line="440" w:lineRule="exact"/>
              <w:textAlignment w:val="auto"/>
              <w:rPr>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szCs w:val="21"/>
              </w:rPr>
            </w:pPr>
            <w:r>
              <w:rPr>
                <w:rFonts w:hint="eastAsia"/>
                <w:szCs w:val="21"/>
              </w:rPr>
              <w:t>重要环境因素（EMS）</w:t>
            </w:r>
          </w:p>
          <w:p>
            <w:pPr>
              <w:keepNext w:val="0"/>
              <w:keepLines w:val="0"/>
              <w:pageBreakBefore w:val="0"/>
              <w:widowControl w:val="0"/>
              <w:kinsoku/>
              <w:wordWrap/>
              <w:overflowPunct/>
              <w:topLinePunct w:val="0"/>
              <w:autoSpaceDE/>
              <w:autoSpaceDN/>
              <w:bidi w:val="0"/>
              <w:adjustRightInd/>
              <w:snapToGrid/>
              <w:spacing w:line="440" w:lineRule="exact"/>
              <w:textAlignment w:val="auto"/>
              <w:rPr>
                <w:szCs w:val="21"/>
              </w:rPr>
            </w:pPr>
            <w:r>
              <w:rPr>
                <w:rFonts w:hint="eastAsia"/>
                <w:szCs w:val="21"/>
              </w:rPr>
              <w:t>不可接受风险（OHSMS）</w:t>
            </w:r>
          </w:p>
        </w:tc>
        <w:tc>
          <w:tcPr>
            <w:tcW w:w="8172" w:type="dxa"/>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b w:val="0"/>
                <w:bCs/>
                <w:sz w:val="20"/>
              </w:rPr>
            </w:pPr>
            <w:r>
              <w:rPr>
                <w:rFonts w:hint="eastAsia"/>
                <w:b w:val="0"/>
                <w:bCs/>
                <w:sz w:val="20"/>
              </w:rPr>
              <w:t>规划设计流程</w:t>
            </w:r>
            <w:r>
              <w:rPr>
                <w:rFonts w:hint="eastAsia"/>
                <w:b w:val="0"/>
                <w:bCs/>
                <w:sz w:val="20"/>
                <w:lang w:eastAsia="zh-CN"/>
              </w:rPr>
              <w:t>：</w:t>
            </w:r>
            <w:r>
              <w:rPr>
                <w:rFonts w:hint="eastAsia"/>
                <w:b w:val="0"/>
                <w:bCs/>
                <w:sz w:val="20"/>
              </w:rPr>
              <w:t>签订合同→下派任务书→下派计划书→收集项目资料→现场外业调查→土地规划设计→现场复勘→专家评审→设计修改、上报→技术服务→客户验收</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b w:val="0"/>
                <w:bCs/>
                <w:sz w:val="20"/>
              </w:rPr>
            </w:pPr>
            <w:r>
              <w:rPr>
                <w:rFonts w:hint="eastAsia" w:ascii="宋体" w:hAnsi="宋体"/>
                <w:szCs w:val="21"/>
                <w:lang w:eastAsia="zh-CN"/>
              </w:rPr>
              <w:t>地形测量</w:t>
            </w:r>
            <w:r>
              <w:rPr>
                <w:rFonts w:hint="eastAsia" w:ascii="宋体" w:hAnsi="宋体"/>
                <w:szCs w:val="21"/>
                <w:lang w:val="en-US" w:eastAsia="zh-CN"/>
              </w:rPr>
              <w:t>流程：</w:t>
            </w:r>
            <w:r>
              <w:rPr>
                <w:rFonts w:hint="eastAsia"/>
                <w:b w:val="0"/>
                <w:bCs/>
                <w:sz w:val="20"/>
              </w:rPr>
              <w:t>签订合同→下派任务书→下派计划书→收集项目资料→现场勘测→内业处理→现场复勘→内审→专家评审→修改、上报→勘测报告→客户验收</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b w:val="0"/>
                <w:bCs/>
                <w:sz w:val="20"/>
                <w:lang w:val="en-US" w:eastAsia="zh-CN"/>
              </w:rPr>
            </w:pP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b w:val="0"/>
                <w:bCs/>
                <w:sz w:val="20"/>
                <w:lang w:val="en-US" w:eastAsia="zh-CN"/>
              </w:rPr>
            </w:pPr>
            <w:r>
              <w:rPr>
                <w:rFonts w:hint="eastAsia"/>
                <w:b w:val="0"/>
                <w:bCs/>
                <w:sz w:val="20"/>
                <w:lang w:val="en-US" w:eastAsia="zh-CN"/>
              </w:rPr>
              <w:t>无</w:t>
            </w:r>
          </w:p>
          <w:p>
            <w:pPr>
              <w:keepNext w:val="0"/>
              <w:keepLines w:val="0"/>
              <w:pageBreakBefore w:val="0"/>
              <w:widowControl w:val="0"/>
              <w:tabs>
                <w:tab w:val="left" w:pos="1080"/>
              </w:tabs>
              <w:kinsoku/>
              <w:wordWrap/>
              <w:overflowPunct/>
              <w:topLinePunct w:val="0"/>
              <w:autoSpaceDE/>
              <w:autoSpaceDN/>
              <w:bidi w:val="0"/>
              <w:adjustRightInd/>
              <w:spacing w:line="440" w:lineRule="exact"/>
              <w:jc w:val="left"/>
              <w:textAlignment w:val="auto"/>
              <w:rPr>
                <w:rFonts w:hint="default" w:eastAsia="宋体"/>
                <w:szCs w:val="21"/>
                <w:lang w:val="en-US" w:eastAsia="zh-CN"/>
              </w:rPr>
            </w:pPr>
            <w:r>
              <w:rPr>
                <w:rFonts w:hint="eastAsia"/>
                <w:szCs w:val="21"/>
                <w:lang w:val="en-US" w:eastAsia="zh-CN"/>
              </w:rPr>
              <w:t>无人机测试</w:t>
            </w:r>
            <w:bookmarkStart w:id="3" w:name="_GoBack"/>
            <w:bookmarkEnd w:id="3"/>
          </w:p>
          <w:p>
            <w:pPr>
              <w:keepNext w:val="0"/>
              <w:keepLines w:val="0"/>
              <w:pageBreakBefore w:val="0"/>
              <w:widowControl w:val="0"/>
              <w:tabs>
                <w:tab w:val="left" w:pos="1080"/>
              </w:tabs>
              <w:kinsoku/>
              <w:wordWrap/>
              <w:overflowPunct/>
              <w:topLinePunct w:val="0"/>
              <w:autoSpaceDE/>
              <w:autoSpaceDN/>
              <w:bidi w:val="0"/>
              <w:adjustRightInd/>
              <w:spacing w:line="440" w:lineRule="exact"/>
              <w:jc w:val="left"/>
              <w:textAlignment w:val="auto"/>
              <w:rPr>
                <w:szCs w:val="21"/>
              </w:rPr>
            </w:pPr>
          </w:p>
          <w:p>
            <w:pPr>
              <w:keepNext w:val="0"/>
              <w:keepLines w:val="0"/>
              <w:pageBreakBefore w:val="0"/>
              <w:widowControl w:val="0"/>
              <w:tabs>
                <w:tab w:val="left" w:pos="1080"/>
              </w:tabs>
              <w:kinsoku/>
              <w:wordWrap/>
              <w:overflowPunct/>
              <w:topLinePunct w:val="0"/>
              <w:autoSpaceDE/>
              <w:autoSpaceDN/>
              <w:bidi w:val="0"/>
              <w:adjustRightInd/>
              <w:spacing w:line="440" w:lineRule="exact"/>
              <w:jc w:val="left"/>
              <w:textAlignment w:val="auto"/>
              <w:rPr>
                <w:szCs w:val="21"/>
              </w:rPr>
            </w:pPr>
            <w:r>
              <w:rPr>
                <w:rFonts w:hint="eastAsia"/>
                <w:b w:val="0"/>
                <w:bCs/>
                <w:sz w:val="20"/>
              </w:rPr>
              <w:t>噪声</w:t>
            </w:r>
            <w:r>
              <w:rPr>
                <w:rFonts w:hint="eastAsia"/>
                <w:b w:val="0"/>
                <w:bCs/>
                <w:sz w:val="20"/>
                <w:lang w:eastAsia="zh-CN"/>
              </w:rPr>
              <w:t>、</w:t>
            </w:r>
            <w:r>
              <w:rPr>
                <w:rFonts w:hint="eastAsia"/>
                <w:b w:val="0"/>
                <w:bCs/>
                <w:sz w:val="20"/>
              </w:rPr>
              <w:t>废弃物的排放</w:t>
            </w:r>
            <w:r>
              <w:rPr>
                <w:rFonts w:hint="eastAsia"/>
                <w:b w:val="0"/>
                <w:bCs/>
                <w:sz w:val="20"/>
                <w:lang w:eastAsia="zh-CN"/>
              </w:rPr>
              <w:t>、</w:t>
            </w:r>
            <w:r>
              <w:rPr>
                <w:rFonts w:hint="eastAsia"/>
                <w:b w:val="0"/>
                <w:bCs/>
                <w:sz w:val="20"/>
              </w:rPr>
              <w:t>潜在火灾的发生</w:t>
            </w:r>
            <w:r>
              <w:rPr>
                <w:rFonts w:hint="eastAsia"/>
                <w:b w:val="0"/>
                <w:bCs/>
                <w:sz w:val="20"/>
                <w:lang w:eastAsia="zh-CN"/>
              </w:rPr>
              <w:t>、</w:t>
            </w:r>
            <w:r>
              <w:rPr>
                <w:rFonts w:hint="eastAsia"/>
                <w:b w:val="0"/>
                <w:bCs/>
                <w:sz w:val="20"/>
              </w:rPr>
              <w:t>资源消耗</w:t>
            </w:r>
            <w:r>
              <w:rPr>
                <w:rFonts w:hint="eastAsia"/>
                <w:szCs w:val="21"/>
              </w:rPr>
              <w:t>。</w:t>
            </w:r>
          </w:p>
          <w:p>
            <w:pPr>
              <w:keepNext w:val="0"/>
              <w:keepLines w:val="0"/>
              <w:pageBreakBefore w:val="0"/>
              <w:widowControl w:val="0"/>
              <w:tabs>
                <w:tab w:val="left" w:pos="1080"/>
              </w:tabs>
              <w:kinsoku/>
              <w:wordWrap/>
              <w:overflowPunct/>
              <w:topLinePunct w:val="0"/>
              <w:autoSpaceDE/>
              <w:autoSpaceDN/>
              <w:bidi w:val="0"/>
              <w:adjustRightInd/>
              <w:spacing w:line="440" w:lineRule="exact"/>
              <w:jc w:val="left"/>
              <w:textAlignment w:val="auto"/>
              <w:rPr>
                <w:szCs w:val="21"/>
              </w:rPr>
            </w:pPr>
            <w:r>
              <w:rPr>
                <w:rFonts w:hint="eastAsia"/>
                <w:b w:val="0"/>
                <w:bCs/>
                <w:sz w:val="20"/>
              </w:rPr>
              <w:t>火灾伤害</w:t>
            </w:r>
            <w:r>
              <w:rPr>
                <w:rFonts w:hint="eastAsia"/>
                <w:b w:val="0"/>
                <w:bCs/>
                <w:sz w:val="20"/>
                <w:lang w:eastAsia="zh-CN"/>
              </w:rPr>
              <w:t>、</w:t>
            </w:r>
            <w:r>
              <w:rPr>
                <w:rFonts w:hint="eastAsia"/>
                <w:b w:val="0"/>
                <w:bCs/>
                <w:sz w:val="20"/>
              </w:rPr>
              <w:t>摔伤、碰伤等意外伤害</w:t>
            </w:r>
            <w:r>
              <w:rPr>
                <w:rFonts w:hint="eastAsia"/>
                <w:b w:val="0"/>
                <w:bCs/>
                <w:sz w:val="20"/>
                <w:lang w:eastAsia="zh-CN"/>
              </w:rPr>
              <w:t>、</w:t>
            </w:r>
            <w:r>
              <w:rPr>
                <w:rFonts w:hint="eastAsia"/>
                <w:b w:val="0"/>
                <w:bCs/>
                <w:sz w:val="20"/>
              </w:rPr>
              <w:t>用电、交通重大伤亡事故</w:t>
            </w:r>
            <w:r>
              <w:rPr>
                <w:rFonts w:hint="eastAsia"/>
                <w:szCs w:val="21"/>
              </w:rPr>
              <w:t>。</w:t>
            </w:r>
          </w:p>
        </w:tc>
        <w:tc>
          <w:tcPr>
            <w:tcW w:w="1691" w:type="dxa"/>
            <w:vAlign w:val="top"/>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szCs w:val="21"/>
              </w:rPr>
            </w:pPr>
            <w:r>
              <w:rPr>
                <w:rFonts w:hint="eastAsia" w:ascii="宋体" w:hAnsi="宋体"/>
                <w:szCs w:val="21"/>
              </w:rPr>
              <w:t>Q8.3</w:t>
            </w:r>
          </w:p>
        </w:tc>
        <w:tc>
          <w:tcPr>
            <w:tcW w:w="918" w:type="dxa"/>
            <w:vAlign w:val="top"/>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545" w:type="dxa"/>
          </w:tcPr>
          <w:p>
            <w:pPr>
              <w:spacing w:line="400" w:lineRule="exact"/>
              <w:rPr>
                <w:szCs w:val="21"/>
              </w:rPr>
            </w:pPr>
            <w:r>
              <w:rPr>
                <w:rFonts w:hint="eastAsia"/>
                <w:szCs w:val="21"/>
              </w:rPr>
              <w:t>设计开发产品或项目名称</w:t>
            </w:r>
          </w:p>
          <w:p>
            <w:pPr>
              <w:spacing w:line="400" w:lineRule="exact"/>
              <w:rPr>
                <w:szCs w:val="21"/>
              </w:rPr>
            </w:pPr>
          </w:p>
          <w:p>
            <w:pPr>
              <w:spacing w:line="400" w:lineRule="exact"/>
              <w:rPr>
                <w:szCs w:val="21"/>
              </w:rPr>
            </w:pPr>
            <w:r>
              <w:rPr>
                <w:rFonts w:hint="eastAsia"/>
                <w:szCs w:val="21"/>
              </w:rPr>
              <w:t>主要原材料</w:t>
            </w:r>
          </w:p>
        </w:tc>
        <w:tc>
          <w:tcPr>
            <w:tcW w:w="8172" w:type="dxa"/>
          </w:tcPr>
          <w:p>
            <w:pPr>
              <w:spacing w:line="400" w:lineRule="exact"/>
              <w:rPr>
                <w:rFonts w:hint="default" w:ascii="宋体" w:hAnsi="宋体"/>
                <w:szCs w:val="21"/>
                <w:highlight w:val="none"/>
                <w:lang w:val="en-US" w:eastAsia="zh-CN"/>
              </w:rPr>
            </w:pPr>
            <w:r>
              <w:rPr>
                <w:rFonts w:hint="eastAsia" w:ascii="宋体" w:hAnsi="宋体"/>
                <w:szCs w:val="21"/>
                <w:highlight w:val="none"/>
                <w:lang w:val="en-US" w:eastAsia="zh-CN"/>
              </w:rPr>
              <w:t>大足区中敖镇永和村土地整理项目规划设计项目</w:t>
            </w:r>
          </w:p>
          <w:p>
            <w:pPr>
              <w:spacing w:line="400" w:lineRule="exact"/>
              <w:rPr>
                <w:rFonts w:hint="eastAsia"/>
                <w:szCs w:val="21"/>
              </w:rPr>
            </w:pPr>
          </w:p>
          <w:p>
            <w:pPr>
              <w:spacing w:line="400" w:lineRule="exact"/>
              <w:rPr>
                <w:rFonts w:hint="eastAsia" w:eastAsia="宋体"/>
                <w:szCs w:val="21"/>
                <w:lang w:eastAsia="zh-CN"/>
              </w:rPr>
            </w:pPr>
            <w:r>
              <w:rPr>
                <w:rFonts w:hint="eastAsia"/>
                <w:szCs w:val="21"/>
              </w:rPr>
              <w:t>办公用品、</w:t>
            </w:r>
            <w:r>
              <w:rPr>
                <w:rFonts w:hint="eastAsia"/>
                <w:szCs w:val="21"/>
                <w:lang w:val="en-US" w:eastAsia="zh-CN"/>
              </w:rPr>
              <w:t>软件</w:t>
            </w:r>
          </w:p>
        </w:tc>
        <w:tc>
          <w:tcPr>
            <w:tcW w:w="1691" w:type="dxa"/>
            <w:vAlign w:val="top"/>
          </w:tcPr>
          <w:p>
            <w:pPr>
              <w:spacing w:line="440" w:lineRule="exact"/>
              <w:jc w:val="left"/>
              <w:rPr>
                <w:rFonts w:ascii="宋体" w:hAnsi="宋体"/>
                <w:szCs w:val="21"/>
              </w:rPr>
            </w:pPr>
            <w:r>
              <w:rPr>
                <w:rFonts w:hint="eastAsia" w:ascii="宋体" w:hAnsi="宋体"/>
                <w:szCs w:val="21"/>
              </w:rPr>
              <w:t>Q8.3</w:t>
            </w:r>
          </w:p>
        </w:tc>
        <w:tc>
          <w:tcPr>
            <w:tcW w:w="918"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3545" w:type="dxa"/>
          </w:tcPr>
          <w:p>
            <w:pPr>
              <w:spacing w:line="400" w:lineRule="exact"/>
              <w:rPr>
                <w:szCs w:val="21"/>
                <w:u w:val="single"/>
              </w:rPr>
            </w:pPr>
            <w:r>
              <w:rPr>
                <w:rFonts w:hint="eastAsia"/>
                <w:szCs w:val="21"/>
                <w:u w:val="single"/>
              </w:rPr>
              <w:t>员工人数</w:t>
            </w:r>
          </w:p>
          <w:p>
            <w:pPr>
              <w:spacing w:line="400" w:lineRule="exact"/>
              <w:rPr>
                <w:szCs w:val="21"/>
                <w:u w:val="single"/>
              </w:rPr>
            </w:pPr>
          </w:p>
          <w:p>
            <w:pPr>
              <w:spacing w:line="400" w:lineRule="exact"/>
              <w:rPr>
                <w:szCs w:val="21"/>
              </w:rPr>
            </w:pPr>
            <w:r>
              <w:rPr>
                <w:rFonts w:hint="eastAsia"/>
                <w:szCs w:val="21"/>
              </w:rPr>
              <w:t>关键岗位持证上岗人员</w:t>
            </w:r>
          </w:p>
          <w:p>
            <w:pPr>
              <w:spacing w:line="400" w:lineRule="exact"/>
              <w:rPr>
                <w:szCs w:val="21"/>
              </w:rPr>
            </w:pPr>
            <w:r>
              <w:rPr>
                <w:rFonts w:hint="eastAsia"/>
                <w:szCs w:val="21"/>
              </w:rPr>
              <w:t>特殊工种人员</w:t>
            </w:r>
          </w:p>
        </w:tc>
        <w:tc>
          <w:tcPr>
            <w:tcW w:w="8172" w:type="dxa"/>
          </w:tcPr>
          <w:p>
            <w:pPr>
              <w:spacing w:line="400" w:lineRule="exact"/>
              <w:rPr>
                <w:szCs w:val="21"/>
              </w:rPr>
            </w:pPr>
            <w:r>
              <w:rPr>
                <w:rFonts w:hint="eastAsia"/>
                <w:szCs w:val="21"/>
              </w:rPr>
              <w:t>现场核实人数</w:t>
            </w:r>
            <w:r>
              <w:rPr>
                <w:rFonts w:hint="eastAsia"/>
                <w:szCs w:val="21"/>
                <w:lang w:val="en-US" w:eastAsia="zh-CN"/>
              </w:rPr>
              <w:t>25</w:t>
            </w:r>
            <w:r>
              <w:rPr>
                <w:rFonts w:hint="eastAsia"/>
                <w:szCs w:val="21"/>
              </w:rPr>
              <w:t>人，与任务书一致</w:t>
            </w:r>
          </w:p>
          <w:p>
            <w:pPr>
              <w:spacing w:line="400" w:lineRule="exact"/>
              <w:rPr>
                <w:szCs w:val="21"/>
              </w:rPr>
            </w:pPr>
          </w:p>
          <w:p>
            <w:pPr>
              <w:spacing w:line="400" w:lineRule="exact"/>
              <w:rPr>
                <w:szCs w:val="21"/>
                <w:highlight w:val="none"/>
              </w:rPr>
            </w:pPr>
            <w:r>
              <w:rPr>
                <w:rFonts w:hint="eastAsia"/>
                <w:szCs w:val="21"/>
                <w:highlight w:val="none"/>
                <w:lang w:val="en-US" w:eastAsia="zh-CN"/>
              </w:rPr>
              <w:t>规划、</w:t>
            </w:r>
            <w:r>
              <w:rPr>
                <w:rFonts w:hint="eastAsia"/>
                <w:szCs w:val="21"/>
                <w:highlight w:val="none"/>
              </w:rPr>
              <w:t>测</w:t>
            </w:r>
            <w:r>
              <w:rPr>
                <w:rFonts w:hint="eastAsia"/>
                <w:szCs w:val="21"/>
                <w:highlight w:val="none"/>
                <w:lang w:val="en-US" w:eastAsia="zh-CN"/>
              </w:rPr>
              <w:t>绘人员</w:t>
            </w:r>
            <w:r>
              <w:rPr>
                <w:rFonts w:hint="eastAsia"/>
                <w:szCs w:val="21"/>
                <w:highlight w:val="none"/>
              </w:rPr>
              <w:t>等</w:t>
            </w:r>
          </w:p>
          <w:p>
            <w:pPr>
              <w:spacing w:line="400" w:lineRule="exact"/>
              <w:rPr>
                <w:szCs w:val="21"/>
              </w:rPr>
            </w:pPr>
            <w:r>
              <w:rPr>
                <w:rFonts w:hint="eastAsia"/>
                <w:szCs w:val="21"/>
              </w:rPr>
              <w:t>无</w:t>
            </w:r>
          </w:p>
        </w:tc>
        <w:tc>
          <w:tcPr>
            <w:tcW w:w="1691" w:type="dxa"/>
            <w:vAlign w:val="top"/>
          </w:tcPr>
          <w:p>
            <w:pPr>
              <w:spacing w:line="440" w:lineRule="exact"/>
              <w:jc w:val="left"/>
              <w:rPr>
                <w:rFonts w:ascii="宋体" w:hAnsi="宋体"/>
                <w:szCs w:val="21"/>
              </w:rPr>
            </w:pPr>
            <w:r>
              <w:rPr>
                <w:rFonts w:hint="eastAsia" w:ascii="宋体" w:hAnsi="宋体"/>
                <w:szCs w:val="21"/>
              </w:rPr>
              <w:t>Q/E/S:7.2</w:t>
            </w:r>
          </w:p>
        </w:tc>
        <w:tc>
          <w:tcPr>
            <w:tcW w:w="918"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trPr>
        <w:tc>
          <w:tcPr>
            <w:tcW w:w="3545" w:type="dxa"/>
          </w:tcPr>
          <w:p>
            <w:pPr>
              <w:spacing w:line="400" w:lineRule="exact"/>
              <w:rPr>
                <w:szCs w:val="21"/>
              </w:rPr>
            </w:pPr>
            <w:r>
              <w:rPr>
                <w:rFonts w:hint="eastAsia"/>
                <w:szCs w:val="21"/>
              </w:rPr>
              <w:t>主要生产设备</w:t>
            </w:r>
          </w:p>
          <w:p>
            <w:pPr>
              <w:spacing w:line="400" w:lineRule="exact"/>
              <w:rPr>
                <w:szCs w:val="21"/>
              </w:rPr>
            </w:pPr>
          </w:p>
          <w:p>
            <w:pPr>
              <w:spacing w:line="400" w:lineRule="exact"/>
              <w:rPr>
                <w:szCs w:val="21"/>
              </w:rPr>
            </w:pPr>
            <w:r>
              <w:rPr>
                <w:rFonts w:hint="eastAsia"/>
                <w:szCs w:val="21"/>
              </w:rPr>
              <w:t>特种设备</w:t>
            </w:r>
          </w:p>
          <w:p>
            <w:pPr>
              <w:spacing w:line="400" w:lineRule="exact"/>
              <w:rPr>
                <w:szCs w:val="21"/>
              </w:rPr>
            </w:pPr>
          </w:p>
          <w:p>
            <w:pPr>
              <w:spacing w:line="400" w:lineRule="exact"/>
              <w:rPr>
                <w:szCs w:val="21"/>
              </w:rPr>
            </w:pPr>
            <w:r>
              <w:rPr>
                <w:rFonts w:hint="eastAsia"/>
                <w:szCs w:val="21"/>
              </w:rPr>
              <w:t>环保设施（EMS）</w:t>
            </w:r>
          </w:p>
          <w:p>
            <w:pPr>
              <w:spacing w:line="400" w:lineRule="exact"/>
              <w:rPr>
                <w:szCs w:val="21"/>
              </w:rPr>
            </w:pPr>
          </w:p>
          <w:p>
            <w:pPr>
              <w:spacing w:line="400" w:lineRule="exact"/>
              <w:rPr>
                <w:szCs w:val="21"/>
              </w:rPr>
            </w:pPr>
            <w:r>
              <w:rPr>
                <w:rFonts w:hint="eastAsia"/>
                <w:szCs w:val="21"/>
              </w:rPr>
              <w:t>安全设施（OHSMS）</w:t>
            </w:r>
          </w:p>
          <w:p>
            <w:pPr>
              <w:spacing w:line="400" w:lineRule="exact"/>
              <w:rPr>
                <w:szCs w:val="21"/>
              </w:rPr>
            </w:pPr>
          </w:p>
          <w:p>
            <w:pPr>
              <w:spacing w:line="400" w:lineRule="exact"/>
              <w:rPr>
                <w:szCs w:val="21"/>
              </w:rPr>
            </w:pPr>
            <w:r>
              <w:rPr>
                <w:rFonts w:hint="eastAsia"/>
                <w:szCs w:val="21"/>
              </w:rPr>
              <w:t>主要检测设备及设备的检定/校准（QMS）</w:t>
            </w: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8172" w:type="dxa"/>
          </w:tcPr>
          <w:p>
            <w:pPr>
              <w:spacing w:line="400" w:lineRule="exact"/>
              <w:rPr>
                <w:szCs w:val="21"/>
              </w:rPr>
            </w:pPr>
            <w:r>
              <w:rPr>
                <w:rFonts w:hint="eastAsia" w:ascii="宋体" w:hAnsi="宋体" w:cs="宋体"/>
                <w:szCs w:val="21"/>
              </w:rPr>
              <w:t>办公和测量设备等</w:t>
            </w:r>
          </w:p>
          <w:p>
            <w:pPr>
              <w:spacing w:line="400" w:lineRule="exact"/>
              <w:rPr>
                <w:szCs w:val="21"/>
              </w:rPr>
            </w:pPr>
          </w:p>
          <w:p>
            <w:pPr>
              <w:spacing w:line="400" w:lineRule="exact"/>
              <w:rPr>
                <w:szCs w:val="21"/>
              </w:rPr>
            </w:pPr>
            <w:r>
              <w:rPr>
                <w:rFonts w:hint="eastAsia"/>
                <w:szCs w:val="21"/>
              </w:rPr>
              <w:t>无</w:t>
            </w:r>
          </w:p>
          <w:p>
            <w:pPr>
              <w:spacing w:line="400" w:lineRule="exact"/>
              <w:rPr>
                <w:szCs w:val="21"/>
              </w:rPr>
            </w:pPr>
          </w:p>
          <w:p>
            <w:pPr>
              <w:spacing w:line="400" w:lineRule="exact"/>
              <w:rPr>
                <w:szCs w:val="21"/>
              </w:rPr>
            </w:pPr>
            <w:r>
              <w:rPr>
                <w:rFonts w:hint="eastAsia"/>
                <w:szCs w:val="21"/>
              </w:rPr>
              <w:t>消防栓、灭火器</w:t>
            </w:r>
          </w:p>
          <w:p>
            <w:pPr>
              <w:spacing w:line="400" w:lineRule="exact"/>
              <w:rPr>
                <w:szCs w:val="21"/>
              </w:rPr>
            </w:pPr>
          </w:p>
          <w:p>
            <w:pPr>
              <w:spacing w:line="400" w:lineRule="exact"/>
              <w:rPr>
                <w:szCs w:val="21"/>
              </w:rPr>
            </w:pPr>
            <w:r>
              <w:rPr>
                <w:rFonts w:hint="eastAsia"/>
                <w:szCs w:val="21"/>
              </w:rPr>
              <w:t>配电箱、空开</w:t>
            </w:r>
          </w:p>
          <w:p>
            <w:pPr>
              <w:spacing w:line="400" w:lineRule="exact"/>
              <w:rPr>
                <w:szCs w:val="21"/>
              </w:rPr>
            </w:pPr>
          </w:p>
          <w:p>
            <w:pPr>
              <w:spacing w:line="400" w:lineRule="exact"/>
              <w:rPr>
                <w:rFonts w:hint="eastAsia" w:eastAsia="宋体"/>
                <w:szCs w:val="21"/>
                <w:highlight w:val="none"/>
                <w:lang w:eastAsia="zh-CN"/>
              </w:rPr>
            </w:pPr>
            <w:r>
              <w:rPr>
                <w:rFonts w:hint="eastAsia"/>
                <w:szCs w:val="21"/>
                <w:highlight w:val="none"/>
              </w:rPr>
              <w:t>GNSS接收机、全站仪等，提供有效检定证书</w:t>
            </w:r>
            <w:r>
              <w:rPr>
                <w:rFonts w:hint="eastAsia"/>
                <w:szCs w:val="21"/>
                <w:highlight w:val="none"/>
                <w:lang w:eastAsia="zh-CN"/>
              </w:rPr>
              <w:t>。</w:t>
            </w:r>
          </w:p>
          <w:p>
            <w:pPr>
              <w:spacing w:line="400" w:lineRule="exact"/>
              <w:rPr>
                <w:rFonts w:hint="eastAsia"/>
                <w:szCs w:val="21"/>
                <w:highlight w:val="green"/>
              </w:rPr>
            </w:pPr>
          </w:p>
          <w:p>
            <w:pPr>
              <w:spacing w:line="400" w:lineRule="exact"/>
              <w:rPr>
                <w:szCs w:val="21"/>
              </w:rPr>
            </w:pPr>
            <w:r>
              <w:rPr>
                <w:rFonts w:hint="eastAsia"/>
                <w:szCs w:val="21"/>
              </w:rPr>
              <w:t>无</w:t>
            </w:r>
          </w:p>
          <w:p>
            <w:pPr>
              <w:spacing w:line="400" w:lineRule="exact"/>
              <w:rPr>
                <w:szCs w:val="21"/>
              </w:rPr>
            </w:pPr>
            <w:r>
              <w:rPr>
                <w:rFonts w:hint="eastAsia"/>
                <w:szCs w:val="21"/>
              </w:rPr>
              <w:t>无</w:t>
            </w:r>
          </w:p>
        </w:tc>
        <w:tc>
          <w:tcPr>
            <w:tcW w:w="1691" w:type="dxa"/>
            <w:vAlign w:val="top"/>
          </w:tcPr>
          <w:p>
            <w:pPr>
              <w:spacing w:line="440" w:lineRule="exact"/>
              <w:jc w:val="left"/>
              <w:rPr>
                <w:rFonts w:ascii="宋体" w:hAnsi="宋体"/>
                <w:szCs w:val="21"/>
              </w:rPr>
            </w:pPr>
            <w:r>
              <w:rPr>
                <w:rFonts w:hint="eastAsia" w:ascii="宋体" w:hAnsi="宋体"/>
                <w:szCs w:val="21"/>
              </w:rPr>
              <w:t>Q/E/S:7.1</w:t>
            </w:r>
          </w:p>
          <w:p>
            <w:pPr>
              <w:spacing w:line="440" w:lineRule="exact"/>
              <w:jc w:val="both"/>
              <w:rPr>
                <w:rFonts w:ascii="宋体" w:hAnsi="宋体"/>
                <w:szCs w:val="21"/>
              </w:rPr>
            </w:pPr>
            <w:r>
              <w:rPr>
                <w:rFonts w:hint="eastAsia" w:ascii="宋体" w:hAnsi="宋体"/>
                <w:szCs w:val="21"/>
              </w:rPr>
              <w:t>Q7.1.3</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918"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3545" w:type="dxa"/>
          </w:tcPr>
          <w:p>
            <w:pPr>
              <w:spacing w:line="400" w:lineRule="exact"/>
              <w:rPr>
                <w:szCs w:val="21"/>
              </w:rPr>
            </w:pPr>
            <w:r>
              <w:rPr>
                <w:rFonts w:hint="eastAsia"/>
                <w:szCs w:val="21"/>
              </w:rPr>
              <w:t>周边环境（EMS）</w:t>
            </w:r>
          </w:p>
          <w:p>
            <w:pPr>
              <w:spacing w:line="400" w:lineRule="exact"/>
              <w:rPr>
                <w:szCs w:val="21"/>
              </w:rPr>
            </w:pPr>
            <w:r>
              <w:rPr>
                <w:rFonts w:hint="eastAsia"/>
                <w:szCs w:val="21"/>
              </w:rPr>
              <w:t>场区布局（一级风险）</w:t>
            </w:r>
          </w:p>
          <w:p>
            <w:pPr>
              <w:spacing w:line="400" w:lineRule="exact"/>
              <w:rPr>
                <w:szCs w:val="21"/>
              </w:rPr>
            </w:pPr>
            <w:r>
              <w:rPr>
                <w:rFonts w:hint="eastAsia"/>
                <w:szCs w:val="21"/>
              </w:rPr>
              <w:t>排污口及排污管网（一级风险）</w:t>
            </w:r>
          </w:p>
          <w:p>
            <w:pPr>
              <w:spacing w:line="400" w:lineRule="exact"/>
              <w:rPr>
                <w:szCs w:val="21"/>
              </w:rPr>
            </w:pPr>
            <w:r>
              <w:rPr>
                <w:rFonts w:hint="eastAsia"/>
                <w:szCs w:val="21"/>
              </w:rPr>
              <w:t>关注动力装置场所、危险化学品仓库、固废堆放场所</w:t>
            </w:r>
          </w:p>
        </w:tc>
        <w:tc>
          <w:tcPr>
            <w:tcW w:w="8172" w:type="dxa"/>
          </w:tcPr>
          <w:p>
            <w:pPr>
              <w:spacing w:line="400" w:lineRule="exact"/>
              <w:rPr>
                <w:szCs w:val="21"/>
              </w:rPr>
            </w:pPr>
            <w:r>
              <w:rPr>
                <w:rFonts w:hint="eastAsia"/>
                <w:szCs w:val="21"/>
              </w:rPr>
              <w:t>在写字楼内</w:t>
            </w:r>
          </w:p>
          <w:p>
            <w:pPr>
              <w:spacing w:line="400" w:lineRule="exact"/>
              <w:rPr>
                <w:szCs w:val="21"/>
                <w:highlight w:val="green"/>
              </w:rPr>
            </w:pPr>
          </w:p>
          <w:p>
            <w:pPr>
              <w:spacing w:line="400" w:lineRule="exact"/>
              <w:rPr>
                <w:szCs w:val="21"/>
                <w:highlight w:val="green"/>
              </w:rPr>
            </w:pPr>
          </w:p>
          <w:p>
            <w:pPr>
              <w:spacing w:line="400" w:lineRule="exact"/>
              <w:rPr>
                <w:szCs w:val="21"/>
                <w:highlight w:val="green"/>
              </w:rPr>
            </w:pPr>
          </w:p>
        </w:tc>
        <w:tc>
          <w:tcPr>
            <w:tcW w:w="1691" w:type="dxa"/>
          </w:tcPr>
          <w:p>
            <w:pPr>
              <w:spacing w:line="440" w:lineRule="exact"/>
              <w:jc w:val="center"/>
              <w:rPr>
                <w:rFonts w:ascii="宋体" w:hAnsi="宋体"/>
                <w:szCs w:val="21"/>
              </w:rPr>
            </w:pPr>
          </w:p>
        </w:tc>
        <w:tc>
          <w:tcPr>
            <w:tcW w:w="918"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3545" w:type="dxa"/>
          </w:tcPr>
          <w:p>
            <w:pPr>
              <w:spacing w:line="400" w:lineRule="exact"/>
              <w:rPr>
                <w:szCs w:val="21"/>
              </w:rPr>
            </w:pPr>
            <w:r>
              <w:rPr>
                <w:rFonts w:hint="eastAsia"/>
                <w:szCs w:val="21"/>
              </w:rPr>
              <w:t>高处作业、高粉尘作业、机械加工、压力容器操作、有毒化学品车间、危险化学品仓库和储存罐区等高风险作业场所</w:t>
            </w:r>
          </w:p>
        </w:tc>
        <w:tc>
          <w:tcPr>
            <w:tcW w:w="8172" w:type="dxa"/>
          </w:tcPr>
          <w:p>
            <w:pPr>
              <w:spacing w:line="400" w:lineRule="exact"/>
              <w:rPr>
                <w:szCs w:val="21"/>
                <w:highlight w:val="green"/>
              </w:rPr>
            </w:pPr>
            <w:r>
              <w:rPr>
                <w:rFonts w:hint="eastAsia"/>
                <w:szCs w:val="21"/>
              </w:rPr>
              <w:t>无高风险作业场所</w:t>
            </w:r>
          </w:p>
        </w:tc>
        <w:tc>
          <w:tcPr>
            <w:tcW w:w="1691" w:type="dxa"/>
          </w:tcPr>
          <w:p>
            <w:pPr>
              <w:spacing w:line="440" w:lineRule="exact"/>
              <w:jc w:val="center"/>
              <w:rPr>
                <w:rFonts w:ascii="宋体" w:hAnsi="宋体"/>
                <w:szCs w:val="21"/>
              </w:rPr>
            </w:pPr>
          </w:p>
        </w:tc>
        <w:tc>
          <w:tcPr>
            <w:tcW w:w="918"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545" w:type="dxa"/>
          </w:tcPr>
          <w:p>
            <w:pPr>
              <w:spacing w:line="400" w:lineRule="exact"/>
              <w:rPr>
                <w:szCs w:val="21"/>
              </w:rPr>
            </w:pPr>
            <w:r>
              <w:rPr>
                <w:rFonts w:hint="eastAsia"/>
                <w:szCs w:val="21"/>
              </w:rPr>
              <w:t>顾客及相关方投诉</w:t>
            </w:r>
          </w:p>
        </w:tc>
        <w:tc>
          <w:tcPr>
            <w:tcW w:w="8172" w:type="dxa"/>
          </w:tcPr>
          <w:p>
            <w:pPr>
              <w:spacing w:line="400" w:lineRule="exact"/>
              <w:rPr>
                <w:szCs w:val="21"/>
              </w:rPr>
            </w:pPr>
            <w:r>
              <w:rPr>
                <w:rFonts w:hint="eastAsia"/>
                <w:szCs w:val="21"/>
              </w:rPr>
              <w:t>暂无</w:t>
            </w:r>
          </w:p>
        </w:tc>
        <w:tc>
          <w:tcPr>
            <w:tcW w:w="1691" w:type="dxa"/>
          </w:tcPr>
          <w:p>
            <w:pPr>
              <w:spacing w:line="440" w:lineRule="exact"/>
              <w:jc w:val="center"/>
              <w:rPr>
                <w:rFonts w:ascii="宋体" w:hAnsi="宋体"/>
                <w:szCs w:val="21"/>
              </w:rPr>
            </w:pPr>
          </w:p>
        </w:tc>
        <w:tc>
          <w:tcPr>
            <w:tcW w:w="918"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545" w:type="dxa"/>
          </w:tcPr>
          <w:p>
            <w:pPr>
              <w:spacing w:line="400" w:lineRule="exact"/>
              <w:rPr>
                <w:szCs w:val="21"/>
              </w:rPr>
            </w:pPr>
            <w:r>
              <w:rPr>
                <w:rFonts w:hint="eastAsia"/>
                <w:szCs w:val="21"/>
              </w:rPr>
              <w:t>方针及目标、指标及方案</w:t>
            </w:r>
          </w:p>
          <w:p>
            <w:pPr>
              <w:spacing w:line="400" w:lineRule="exact"/>
              <w:rPr>
                <w:szCs w:val="21"/>
              </w:rPr>
            </w:pPr>
          </w:p>
        </w:tc>
        <w:tc>
          <w:tcPr>
            <w:tcW w:w="8172" w:type="dxa"/>
          </w:tcPr>
          <w:p>
            <w:pPr>
              <w:pStyle w:val="3"/>
              <w:numPr>
                <w:ilvl w:val="0"/>
                <w:numId w:val="1"/>
              </w:numPr>
              <w:spacing w:line="400" w:lineRule="exact"/>
              <w:rPr>
                <w:rFonts w:hint="eastAsia" w:hAnsi="宋体" w:cs="Times New Roman"/>
                <w:sz w:val="21"/>
                <w:lang w:val="en-US" w:eastAsia="zh-CN"/>
              </w:rPr>
            </w:pPr>
            <w:r>
              <w:rPr>
                <w:rFonts w:hint="eastAsia" w:hAnsi="宋体" w:cs="Times New Roman"/>
                <w:sz w:val="21"/>
              </w:rPr>
              <w:t>质量</w:t>
            </w:r>
            <w:r>
              <w:rPr>
                <w:rFonts w:hint="eastAsia" w:hAnsi="宋体" w:cs="Times New Roman"/>
                <w:sz w:val="21"/>
                <w:lang w:val="en-US" w:eastAsia="zh-CN"/>
              </w:rPr>
              <w:t>方针：</w:t>
            </w:r>
          </w:p>
          <w:p>
            <w:pPr>
              <w:pStyle w:val="3"/>
              <w:numPr>
                <w:ilvl w:val="0"/>
                <w:numId w:val="0"/>
              </w:numPr>
              <w:spacing w:line="400" w:lineRule="exact"/>
              <w:rPr>
                <w:rFonts w:hint="eastAsia" w:hAnsi="宋体" w:cs="Times New Roman"/>
                <w:sz w:val="21"/>
                <w:lang w:val="en-US" w:eastAsia="zh-CN"/>
              </w:rPr>
            </w:pPr>
            <w:r>
              <w:rPr>
                <w:rFonts w:hint="eastAsia" w:hAnsi="宋体" w:cs="Times New Roman"/>
                <w:sz w:val="21"/>
                <w:lang w:val="en-US" w:eastAsia="zh-CN"/>
              </w:rPr>
              <w:t xml:space="preserve">公正 公平   科学 合理 </w:t>
            </w:r>
          </w:p>
          <w:p>
            <w:pPr>
              <w:pStyle w:val="3"/>
              <w:numPr>
                <w:ilvl w:val="0"/>
                <w:numId w:val="0"/>
              </w:numPr>
              <w:spacing w:line="400" w:lineRule="exact"/>
              <w:rPr>
                <w:rFonts w:hint="eastAsia" w:hAnsi="宋体" w:cs="Times New Roman"/>
                <w:sz w:val="21"/>
                <w:lang w:val="en-US" w:eastAsia="zh-CN"/>
              </w:rPr>
            </w:pPr>
            <w:r>
              <w:rPr>
                <w:rFonts w:hint="eastAsia" w:hAnsi="宋体" w:cs="Times New Roman"/>
                <w:sz w:val="21"/>
                <w:lang w:val="en-US" w:eastAsia="zh-CN"/>
              </w:rPr>
              <w:t>优质 高效   责任 专业</w:t>
            </w:r>
          </w:p>
          <w:p>
            <w:pPr>
              <w:pStyle w:val="3"/>
              <w:numPr>
                <w:ilvl w:val="0"/>
                <w:numId w:val="0"/>
              </w:numPr>
              <w:spacing w:line="400" w:lineRule="exact"/>
              <w:rPr>
                <w:rFonts w:hint="eastAsia" w:hAnsi="宋体" w:cs="Times New Roman"/>
                <w:sz w:val="21"/>
                <w:lang w:val="en-US" w:eastAsia="zh-CN"/>
              </w:rPr>
            </w:pPr>
            <w:r>
              <w:rPr>
                <w:rFonts w:hint="eastAsia" w:hAnsi="宋体" w:cs="Times New Roman"/>
                <w:sz w:val="21"/>
                <w:lang w:val="en-US" w:eastAsia="zh-CN"/>
              </w:rPr>
              <w:t>诚信求实、顾客满意、致力服务、持续改进、以及认真仔细，快速响应，坚守承诺，唯求满意,为顾客提供优质的服务</w:t>
            </w:r>
          </w:p>
          <w:p>
            <w:pPr>
              <w:pStyle w:val="3"/>
              <w:numPr>
                <w:ilvl w:val="0"/>
                <w:numId w:val="0"/>
              </w:numPr>
              <w:spacing w:line="400" w:lineRule="exact"/>
              <w:rPr>
                <w:rFonts w:hint="eastAsia" w:hAnsi="宋体" w:cs="Times New Roman"/>
                <w:sz w:val="21"/>
                <w:lang w:val="en-US" w:eastAsia="zh-CN"/>
              </w:rPr>
            </w:pPr>
            <w:r>
              <w:rPr>
                <w:rFonts w:hint="eastAsia" w:hAnsi="宋体" w:cs="Times New Roman"/>
                <w:sz w:val="21"/>
                <w:lang w:val="en-US" w:eastAsia="zh-CN"/>
              </w:rPr>
              <w:t>2、环境、职业健康安全方针：</w:t>
            </w:r>
          </w:p>
          <w:p>
            <w:pPr>
              <w:pStyle w:val="3"/>
              <w:numPr>
                <w:ilvl w:val="0"/>
                <w:numId w:val="0"/>
              </w:numPr>
              <w:spacing w:line="400" w:lineRule="exact"/>
              <w:rPr>
                <w:rFonts w:hint="eastAsia" w:hAnsi="宋体" w:cs="Times New Roman"/>
                <w:sz w:val="21"/>
                <w:lang w:val="en-US" w:eastAsia="zh-CN"/>
              </w:rPr>
            </w:pPr>
            <w:bookmarkStart w:id="2" w:name="OLE_LINK3"/>
            <w:r>
              <w:rPr>
                <w:rFonts w:hint="eastAsia" w:hAnsi="宋体" w:cs="Times New Roman"/>
                <w:sz w:val="21"/>
                <w:lang w:val="en-US" w:eastAsia="zh-CN"/>
              </w:rPr>
              <w:t>以人为本   关爱生命  保护环境  珍惜资源  和谐发展</w:t>
            </w:r>
          </w:p>
          <w:p>
            <w:pPr>
              <w:pStyle w:val="3"/>
              <w:numPr>
                <w:ilvl w:val="0"/>
                <w:numId w:val="0"/>
              </w:numPr>
              <w:spacing w:line="400" w:lineRule="exact"/>
              <w:rPr>
                <w:rFonts w:hint="eastAsia" w:hAnsi="宋体" w:cs="Times New Roman"/>
                <w:sz w:val="21"/>
                <w:lang w:val="en-US" w:eastAsia="zh-CN"/>
              </w:rPr>
            </w:pPr>
            <w:r>
              <w:rPr>
                <w:rFonts w:hint="eastAsia" w:hAnsi="宋体" w:cs="Times New Roman"/>
                <w:sz w:val="21"/>
                <w:lang w:val="en-US" w:eastAsia="zh-CN"/>
              </w:rPr>
              <w:t>3、本公司质量目标：</w:t>
            </w:r>
          </w:p>
          <w:p>
            <w:pPr>
              <w:pStyle w:val="3"/>
              <w:numPr>
                <w:ilvl w:val="0"/>
                <w:numId w:val="0"/>
              </w:numPr>
              <w:spacing w:line="400" w:lineRule="exact"/>
              <w:rPr>
                <w:rFonts w:hint="eastAsia" w:hAnsi="宋体" w:cs="Times New Roman"/>
                <w:sz w:val="21"/>
                <w:lang w:val="en-US" w:eastAsia="zh-CN"/>
              </w:rPr>
            </w:pPr>
            <w:r>
              <w:rPr>
                <w:rFonts w:hint="eastAsia" w:hAnsi="宋体" w:cs="Times New Roman"/>
                <w:sz w:val="21"/>
                <w:lang w:val="en-US" w:eastAsia="zh-CN"/>
              </w:rPr>
              <w:t>1）项目按时完成率≥98%；</w:t>
            </w:r>
          </w:p>
          <w:p>
            <w:pPr>
              <w:pStyle w:val="3"/>
              <w:numPr>
                <w:ilvl w:val="0"/>
                <w:numId w:val="0"/>
              </w:numPr>
              <w:spacing w:line="400" w:lineRule="exact"/>
              <w:rPr>
                <w:rFonts w:hint="default" w:hAnsi="宋体" w:cs="Times New Roman"/>
                <w:sz w:val="21"/>
                <w:lang w:val="en-US" w:eastAsia="zh-CN"/>
              </w:rPr>
            </w:pPr>
            <w:r>
              <w:rPr>
                <w:rFonts w:hint="eastAsia" w:hAnsi="宋体" w:cs="Times New Roman"/>
                <w:sz w:val="21"/>
                <w:lang w:val="en-US" w:eastAsia="zh-CN"/>
              </w:rPr>
              <w:t>2）项目一次评审通过率≥98%；</w:t>
            </w:r>
          </w:p>
          <w:p>
            <w:pPr>
              <w:pStyle w:val="3"/>
              <w:numPr>
                <w:ilvl w:val="0"/>
                <w:numId w:val="0"/>
              </w:numPr>
              <w:spacing w:line="400" w:lineRule="exact"/>
              <w:rPr>
                <w:rFonts w:hint="eastAsia" w:hAnsi="宋体" w:cs="Times New Roman"/>
                <w:sz w:val="21"/>
                <w:lang w:val="en-US" w:eastAsia="zh-CN"/>
              </w:rPr>
            </w:pPr>
            <w:r>
              <w:rPr>
                <w:rFonts w:hint="eastAsia" w:hAnsi="宋体" w:cs="Times New Roman"/>
                <w:sz w:val="21"/>
                <w:lang w:val="en-US" w:eastAsia="zh-CN"/>
              </w:rPr>
              <w:t>3）顾客满意度≥90%，并逐年上升。</w:t>
            </w:r>
          </w:p>
          <w:p>
            <w:pPr>
              <w:pStyle w:val="3"/>
              <w:numPr>
                <w:ilvl w:val="0"/>
                <w:numId w:val="0"/>
              </w:numPr>
              <w:spacing w:line="400" w:lineRule="exact"/>
              <w:rPr>
                <w:rFonts w:hint="eastAsia" w:hAnsi="宋体" w:cs="Times New Roman"/>
                <w:sz w:val="21"/>
                <w:lang w:val="en-US" w:eastAsia="zh-CN"/>
              </w:rPr>
            </w:pPr>
            <w:r>
              <w:rPr>
                <w:rFonts w:hint="eastAsia" w:hAnsi="宋体" w:cs="Times New Roman"/>
                <w:sz w:val="21"/>
                <w:lang w:val="en-US" w:eastAsia="zh-CN"/>
              </w:rPr>
              <w:t>4、本公司环境、职业健康安全目标：</w:t>
            </w:r>
          </w:p>
          <w:bookmarkEnd w:id="2"/>
          <w:p>
            <w:pPr>
              <w:pStyle w:val="3"/>
              <w:numPr>
                <w:ilvl w:val="0"/>
                <w:numId w:val="0"/>
              </w:numPr>
              <w:spacing w:line="400" w:lineRule="exact"/>
              <w:rPr>
                <w:rFonts w:hint="eastAsia" w:hAnsi="宋体" w:cs="Times New Roman"/>
                <w:sz w:val="21"/>
                <w:lang w:val="en-US" w:eastAsia="zh-CN"/>
              </w:rPr>
            </w:pPr>
            <w:r>
              <w:rPr>
                <w:rFonts w:hint="eastAsia" w:hAnsi="宋体" w:cs="Times New Roman"/>
                <w:sz w:val="21"/>
                <w:lang w:val="en-US" w:eastAsia="zh-CN"/>
              </w:rPr>
              <w:t>1）固废回收处理率100%；</w:t>
            </w:r>
          </w:p>
          <w:p>
            <w:pPr>
              <w:pStyle w:val="3"/>
              <w:numPr>
                <w:ilvl w:val="0"/>
                <w:numId w:val="0"/>
              </w:numPr>
              <w:spacing w:line="400" w:lineRule="exact"/>
              <w:rPr>
                <w:rFonts w:hint="eastAsia" w:hAnsi="宋体" w:cs="Times New Roman"/>
                <w:sz w:val="21"/>
                <w:lang w:val="en-US" w:eastAsia="zh-CN"/>
              </w:rPr>
            </w:pPr>
            <w:r>
              <w:rPr>
                <w:rFonts w:hint="eastAsia" w:hAnsi="宋体" w:cs="Times New Roman"/>
                <w:sz w:val="21"/>
                <w:lang w:val="en-US" w:eastAsia="zh-CN"/>
              </w:rPr>
              <w:t>2）火灾事故发生为0；</w:t>
            </w:r>
          </w:p>
          <w:p>
            <w:pPr>
              <w:pStyle w:val="3"/>
              <w:numPr>
                <w:ilvl w:val="0"/>
                <w:numId w:val="0"/>
              </w:numPr>
              <w:spacing w:line="400" w:lineRule="exact"/>
              <w:rPr>
                <w:rFonts w:hint="eastAsia" w:hAnsi="宋体" w:cs="Times New Roman"/>
                <w:sz w:val="21"/>
                <w:lang w:val="en-US" w:eastAsia="zh-CN"/>
              </w:rPr>
            </w:pPr>
            <w:r>
              <w:rPr>
                <w:rFonts w:hint="eastAsia" w:hAnsi="宋体" w:cs="Times New Roman"/>
                <w:sz w:val="21"/>
                <w:lang w:val="en-US" w:eastAsia="zh-CN"/>
              </w:rPr>
              <w:t>3）意外伤害率0。</w:t>
            </w:r>
          </w:p>
          <w:p>
            <w:pPr>
              <w:pStyle w:val="3"/>
              <w:numPr>
                <w:ilvl w:val="0"/>
                <w:numId w:val="0"/>
              </w:numPr>
              <w:spacing w:line="400" w:lineRule="exact"/>
              <w:rPr>
                <w:szCs w:val="21"/>
              </w:rPr>
            </w:pPr>
            <w:r>
              <w:rPr>
                <w:rFonts w:hint="eastAsia" w:hAnsi="宋体" w:cs="Times New Roman"/>
                <w:sz w:val="21"/>
                <w:lang w:val="en-US" w:eastAsia="zh-CN"/>
              </w:rPr>
              <w:t>管理方案涉及固废的排放、潜在火灾、噪声的排放、资源浪费、触电，意外伤害等。</w:t>
            </w:r>
          </w:p>
        </w:tc>
        <w:tc>
          <w:tcPr>
            <w:tcW w:w="1691" w:type="dxa"/>
            <w:vAlign w:val="top"/>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918" w:type="dxa"/>
            <w:vAlign w:val="top"/>
          </w:tcPr>
          <w:p>
            <w:pPr>
              <w:spacing w:line="440" w:lineRule="exact"/>
              <w:jc w:val="center"/>
              <w:rPr>
                <w:rFonts w:ascii="宋体" w:hAnsi="宋体"/>
                <w:szCs w:val="21"/>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545" w:type="dxa"/>
          </w:tcPr>
          <w:p>
            <w:pPr>
              <w:spacing w:line="400" w:lineRule="exact"/>
              <w:rPr>
                <w:szCs w:val="21"/>
              </w:rPr>
            </w:pPr>
            <w:r>
              <w:rPr>
                <w:rFonts w:hint="eastAsia"/>
                <w:szCs w:val="21"/>
              </w:rPr>
              <w:t>内部审核：</w:t>
            </w:r>
          </w:p>
          <w:p>
            <w:pPr>
              <w:spacing w:line="400" w:lineRule="exact"/>
              <w:rPr>
                <w:szCs w:val="21"/>
              </w:rPr>
            </w:pP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审核组</w:t>
            </w:r>
          </w:p>
          <w:p>
            <w:pPr>
              <w:spacing w:line="400" w:lineRule="exact"/>
              <w:rPr>
                <w:szCs w:val="21"/>
              </w:rPr>
            </w:pPr>
          </w:p>
          <w:p>
            <w:pPr>
              <w:spacing w:line="400" w:lineRule="exact"/>
              <w:rPr>
                <w:szCs w:val="21"/>
              </w:rPr>
            </w:pPr>
            <w:r>
              <w:rPr>
                <w:rFonts w:hint="eastAsia"/>
                <w:szCs w:val="21"/>
              </w:rPr>
              <w:t>不符合及整改</w:t>
            </w:r>
          </w:p>
          <w:p>
            <w:pPr>
              <w:spacing w:line="400" w:lineRule="exact"/>
              <w:rPr>
                <w:szCs w:val="21"/>
              </w:rPr>
            </w:pPr>
          </w:p>
        </w:tc>
        <w:tc>
          <w:tcPr>
            <w:tcW w:w="8172" w:type="dxa"/>
          </w:tcPr>
          <w:p>
            <w:pPr>
              <w:spacing w:line="400" w:lineRule="exact"/>
              <w:rPr>
                <w:szCs w:val="21"/>
              </w:rPr>
            </w:pPr>
            <w:r>
              <w:rPr>
                <w:rFonts w:hint="eastAsia"/>
                <w:szCs w:val="21"/>
              </w:rPr>
              <w:t>建立有《内部审核程序》</w:t>
            </w:r>
          </w:p>
          <w:p>
            <w:pPr>
              <w:spacing w:line="400" w:lineRule="exact"/>
              <w:rPr>
                <w:szCs w:val="21"/>
              </w:rPr>
            </w:pPr>
            <w:r>
              <w:rPr>
                <w:rFonts w:hint="eastAsia"/>
                <w:szCs w:val="21"/>
              </w:rPr>
              <w:t xml:space="preserve">见有《内部审核计划表》 </w:t>
            </w:r>
          </w:p>
          <w:p>
            <w:pPr>
              <w:spacing w:line="400" w:lineRule="exact"/>
              <w:rPr>
                <w:szCs w:val="21"/>
              </w:rPr>
            </w:pPr>
            <w:r>
              <w:rPr>
                <w:rFonts w:hint="eastAsia"/>
                <w:szCs w:val="21"/>
              </w:rPr>
              <w:t>内审时间：2020年</w:t>
            </w:r>
            <w:r>
              <w:rPr>
                <w:rFonts w:hint="eastAsia"/>
                <w:szCs w:val="21"/>
                <w:lang w:val="en-US" w:eastAsia="zh-CN"/>
              </w:rPr>
              <w:t>9</w:t>
            </w:r>
            <w:r>
              <w:rPr>
                <w:rFonts w:hint="eastAsia"/>
                <w:szCs w:val="21"/>
              </w:rPr>
              <w:t>月</w:t>
            </w:r>
            <w:r>
              <w:rPr>
                <w:rFonts w:hint="eastAsia"/>
                <w:szCs w:val="21"/>
                <w:lang w:val="en-US" w:eastAsia="zh-CN"/>
              </w:rPr>
              <w:t>11</w:t>
            </w:r>
            <w:r>
              <w:rPr>
                <w:rFonts w:hint="eastAsia"/>
                <w:szCs w:val="21"/>
              </w:rPr>
              <w:t>日</w:t>
            </w:r>
          </w:p>
          <w:p>
            <w:pPr>
              <w:spacing w:line="400" w:lineRule="exact"/>
              <w:rPr>
                <w:szCs w:val="21"/>
              </w:rPr>
            </w:pPr>
          </w:p>
          <w:p>
            <w:pPr>
              <w:spacing w:line="400" w:lineRule="exact"/>
              <w:rPr>
                <w:szCs w:val="21"/>
              </w:rPr>
            </w:pPr>
            <w:r>
              <w:rPr>
                <w:rFonts w:hint="eastAsia"/>
                <w:szCs w:val="21"/>
              </w:rPr>
              <w:t>内审组：</w:t>
            </w:r>
            <w:r>
              <w:rPr>
                <w:rFonts w:hint="eastAsia"/>
                <w:szCs w:val="21"/>
                <w:lang w:eastAsia="zh-CN"/>
              </w:rPr>
              <w:t>洪宏</w:t>
            </w:r>
            <w:r>
              <w:rPr>
                <w:rFonts w:hint="eastAsia" w:ascii="宋体" w:hAnsi="宋体"/>
                <w:szCs w:val="21"/>
              </w:rPr>
              <w:t>（ 组长）</w:t>
            </w:r>
            <w:r>
              <w:rPr>
                <w:rFonts w:hint="eastAsia"/>
                <w:szCs w:val="21"/>
                <w:lang w:eastAsia="zh-CN"/>
              </w:rPr>
              <w:t>郎静</w:t>
            </w:r>
            <w:r>
              <w:rPr>
                <w:rFonts w:hint="eastAsia" w:ascii="宋体" w:hAnsi="宋体" w:cs="宋体"/>
                <w:szCs w:val="21"/>
              </w:rPr>
              <w:t xml:space="preserve"> </w:t>
            </w:r>
            <w:r>
              <w:rPr>
                <w:rFonts w:hint="eastAsia" w:ascii="宋体" w:hAnsi="宋体"/>
                <w:szCs w:val="21"/>
              </w:rPr>
              <w:t>（组员）</w:t>
            </w:r>
          </w:p>
          <w:p>
            <w:pPr>
              <w:spacing w:line="400" w:lineRule="exact"/>
              <w:rPr>
                <w:szCs w:val="21"/>
              </w:rPr>
            </w:pPr>
          </w:p>
          <w:p>
            <w:pPr>
              <w:spacing w:line="400" w:lineRule="exact"/>
              <w:rPr>
                <w:szCs w:val="21"/>
              </w:rPr>
            </w:pPr>
            <w:r>
              <w:rPr>
                <w:rFonts w:hint="eastAsia"/>
                <w:szCs w:val="21"/>
              </w:rPr>
              <w:t>见有：《内审不符合项报告》</w:t>
            </w:r>
            <w:r>
              <w:rPr>
                <w:rFonts w:hint="eastAsia"/>
                <w:szCs w:val="21"/>
                <w:lang w:val="en-US" w:eastAsia="zh-CN"/>
              </w:rPr>
              <w:t>1</w:t>
            </w:r>
            <w:r>
              <w:rPr>
                <w:rFonts w:hint="eastAsia"/>
                <w:szCs w:val="21"/>
              </w:rPr>
              <w:t>份，涉及</w:t>
            </w:r>
            <w:r>
              <w:rPr>
                <w:rFonts w:hint="eastAsia"/>
                <w:szCs w:val="21"/>
                <w:lang w:val="en-US" w:eastAsia="zh-CN"/>
              </w:rPr>
              <w:t>办公室</w:t>
            </w:r>
            <w:r>
              <w:rPr>
                <w:rFonts w:hint="eastAsia"/>
                <w:szCs w:val="21"/>
              </w:rPr>
              <w:t>Q</w:t>
            </w:r>
            <w:r>
              <w:rPr>
                <w:rFonts w:hint="eastAsia"/>
                <w:szCs w:val="21"/>
                <w:lang w:val="en-US" w:eastAsia="zh-CN"/>
              </w:rPr>
              <w:t>7.5.3查“中华人民共和国土地管理法”为失效版本，未及时更新</w:t>
            </w:r>
            <w:r>
              <w:rPr>
                <w:rFonts w:hint="eastAsia"/>
                <w:szCs w:val="21"/>
              </w:rPr>
              <w:t>，为一般不合格</w:t>
            </w:r>
            <w:r>
              <w:rPr>
                <w:rFonts w:hint="eastAsia"/>
                <w:szCs w:val="21"/>
                <w:lang w:eastAsia="zh-CN"/>
              </w:rPr>
              <w:t>，</w:t>
            </w:r>
            <w:r>
              <w:rPr>
                <w:rFonts w:hint="eastAsia"/>
                <w:szCs w:val="21"/>
              </w:rPr>
              <w:t>针对该不符合项，已及时采取纠正措施后，经内审员验证关闭。</w:t>
            </w:r>
          </w:p>
          <w:p>
            <w:pPr>
              <w:spacing w:line="400" w:lineRule="exact"/>
              <w:rPr>
                <w:szCs w:val="21"/>
              </w:rPr>
            </w:pPr>
            <w:r>
              <w:rPr>
                <w:rFonts w:hint="eastAsia"/>
                <w:szCs w:val="21"/>
              </w:rPr>
              <w:t>有《内部审核报告》，有审核结论。</w:t>
            </w:r>
          </w:p>
        </w:tc>
        <w:tc>
          <w:tcPr>
            <w:tcW w:w="1691" w:type="dxa"/>
            <w:vAlign w:val="top"/>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szCs w:val="21"/>
              </w:rPr>
            </w:pPr>
          </w:p>
        </w:tc>
        <w:tc>
          <w:tcPr>
            <w:tcW w:w="918" w:type="dxa"/>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3545" w:type="dxa"/>
          </w:tcPr>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输入是否完整</w:t>
            </w:r>
          </w:p>
          <w:p>
            <w:pPr>
              <w:spacing w:line="400" w:lineRule="exact"/>
              <w:rPr>
                <w:szCs w:val="21"/>
              </w:rPr>
            </w:pPr>
          </w:p>
          <w:p>
            <w:pPr>
              <w:spacing w:line="400" w:lineRule="exact"/>
              <w:rPr>
                <w:szCs w:val="21"/>
              </w:rPr>
            </w:pPr>
            <w:r>
              <w:rPr>
                <w:rFonts w:hint="eastAsia"/>
                <w:szCs w:val="21"/>
              </w:rPr>
              <w:t>提出的改进内容</w:t>
            </w:r>
          </w:p>
          <w:p>
            <w:pPr>
              <w:spacing w:line="400" w:lineRule="exact"/>
              <w:rPr>
                <w:szCs w:val="21"/>
              </w:rPr>
            </w:pPr>
          </w:p>
        </w:tc>
        <w:tc>
          <w:tcPr>
            <w:tcW w:w="8172" w:type="dxa"/>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w:t>
            </w:r>
            <w:r>
              <w:rPr>
                <w:rFonts w:hint="eastAsia"/>
                <w:szCs w:val="21"/>
              </w:rPr>
              <w:t>2020年</w:t>
            </w:r>
            <w:r>
              <w:rPr>
                <w:rFonts w:hint="eastAsia"/>
                <w:szCs w:val="21"/>
                <w:lang w:val="en-US" w:eastAsia="zh-CN"/>
              </w:rPr>
              <w:t>10</w:t>
            </w:r>
            <w:r>
              <w:rPr>
                <w:rFonts w:hint="eastAsia"/>
                <w:szCs w:val="21"/>
              </w:rPr>
              <w:t>月2</w:t>
            </w:r>
            <w:r>
              <w:rPr>
                <w:rFonts w:hint="eastAsia"/>
                <w:szCs w:val="21"/>
                <w:lang w:val="en-US" w:eastAsia="zh-CN"/>
              </w:rPr>
              <w:t>5</w:t>
            </w:r>
            <w:r>
              <w:rPr>
                <w:rFonts w:hint="eastAsia"/>
                <w:szCs w:val="21"/>
              </w:rPr>
              <w:t>日</w:t>
            </w:r>
            <w:r>
              <w:rPr>
                <w:rFonts w:hint="eastAsia" w:ascii="宋体" w:hAnsi="宋体"/>
                <w:color w:val="000000"/>
                <w:szCs w:val="21"/>
              </w:rPr>
              <w:t>由总</w:t>
            </w:r>
            <w:r>
              <w:rPr>
                <w:rFonts w:hint="eastAsia" w:ascii="宋体" w:hAnsi="宋体"/>
                <w:szCs w:val="21"/>
              </w:rPr>
              <w:t>经理</w:t>
            </w:r>
            <w:r>
              <w:rPr>
                <w:rFonts w:hint="eastAsia" w:ascii="宋体" w:hAnsi="宋体"/>
                <w:szCs w:val="21"/>
                <w:lang w:eastAsia="zh-CN"/>
              </w:rPr>
              <w:t>李晓华</w:t>
            </w:r>
            <w:r>
              <w:rPr>
                <w:rFonts w:hint="eastAsia" w:ascii="宋体"/>
                <w:kern w:val="0"/>
                <w:szCs w:val="21"/>
              </w:rPr>
              <w:t>主</w:t>
            </w:r>
            <w:r>
              <w:rPr>
                <w:rFonts w:hint="eastAsia" w:ascii="宋体" w:hAnsi="宋体"/>
                <w:szCs w:val="21"/>
              </w:rPr>
              <w:t>持完成。</w:t>
            </w:r>
          </w:p>
          <w:p>
            <w:pPr>
              <w:adjustRightInd w:val="0"/>
              <w:spacing w:line="400" w:lineRule="exact"/>
              <w:textAlignment w:val="baseline"/>
              <w:rPr>
                <w:rFonts w:ascii="宋体"/>
                <w:kern w:val="0"/>
                <w:szCs w:val="21"/>
              </w:rPr>
            </w:pPr>
            <w:r>
              <w:rPr>
                <w:rFonts w:hint="eastAsia" w:ascii="宋体" w:hAnsi="宋体"/>
                <w:kern w:val="0"/>
                <w:szCs w:val="21"/>
              </w:rPr>
              <w:t>提供主要输入材料有：各部门总结，</w:t>
            </w:r>
            <w:r>
              <w:rPr>
                <w:rFonts w:hint="eastAsia" w:ascii="宋体"/>
                <w:kern w:val="0"/>
                <w:szCs w:val="21"/>
              </w:rPr>
              <w:t>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adjustRightInd w:val="0"/>
              <w:spacing w:line="400" w:lineRule="exact"/>
              <w:textAlignment w:val="baseline"/>
              <w:rPr>
                <w:rFonts w:ascii="宋体" w:hAnsi="宋体"/>
                <w:kern w:val="0"/>
                <w:szCs w:val="21"/>
                <w:u w:val="single"/>
              </w:rPr>
            </w:pPr>
            <w:r>
              <w:rPr>
                <w:rFonts w:hint="eastAsia" w:ascii="宋体" w:hAnsi="宋体"/>
                <w:kern w:val="0"/>
                <w:szCs w:val="21"/>
              </w:rPr>
              <w:t>提出了以下改进建议：</w:t>
            </w:r>
            <w:r>
              <w:rPr>
                <w:rFonts w:hint="eastAsia" w:ascii="宋体" w:hAnsi="宋体"/>
                <w:szCs w:val="21"/>
              </w:rPr>
              <w:t>由于质量、环境和职业健康安全一体化体系建立时间较短，有关人员对标准的理解不够深刻，在运行过程中不能完全满足体系文件要求 。现要求各部门领导和相关人员要进一步学习标准及公司体系文件，决定在两周之内由</w:t>
            </w:r>
            <w:r>
              <w:rPr>
                <w:rFonts w:hint="eastAsia" w:ascii="宋体" w:hAnsi="宋体"/>
                <w:szCs w:val="21"/>
                <w:lang w:eastAsia="zh-CN"/>
              </w:rPr>
              <w:t>办公室</w:t>
            </w:r>
            <w:r>
              <w:rPr>
                <w:rFonts w:hint="eastAsia" w:ascii="宋体" w:hAnsi="宋体"/>
                <w:szCs w:val="21"/>
              </w:rPr>
              <w:t>组织相关人员再进行一次针对标准和管理手册的培训</w:t>
            </w:r>
            <w:r>
              <w:rPr>
                <w:rFonts w:hint="eastAsia"/>
                <w:szCs w:val="21"/>
              </w:rPr>
              <w:t>。</w:t>
            </w:r>
          </w:p>
        </w:tc>
        <w:tc>
          <w:tcPr>
            <w:tcW w:w="1691" w:type="dxa"/>
            <w:vAlign w:val="top"/>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szCs w:val="21"/>
              </w:rPr>
            </w:pPr>
          </w:p>
        </w:tc>
        <w:tc>
          <w:tcPr>
            <w:tcW w:w="918" w:type="dxa"/>
            <w:vAlign w:val="top"/>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3545" w:type="dxa"/>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第二阶段重要审核点等相关内容</w:t>
            </w:r>
          </w:p>
        </w:tc>
        <w:tc>
          <w:tcPr>
            <w:tcW w:w="8172" w:type="dxa"/>
          </w:tcPr>
          <w:p>
            <w:pPr>
              <w:adjustRightInd w:val="0"/>
              <w:snapToGrid w:val="0"/>
              <w:rPr>
                <w:rFonts w:ascii="宋体" w:hAnsi="宋体"/>
                <w:szCs w:val="21"/>
              </w:rPr>
            </w:pPr>
            <w:r>
              <w:rPr>
                <w:rFonts w:hint="eastAsia" w:ascii="宋体" w:hAnsi="宋体"/>
                <w:szCs w:val="21"/>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二阶段质量管理体系宜重点关注（合同评审、</w:t>
            </w:r>
            <w:r>
              <w:rPr>
                <w:rFonts w:hint="eastAsia" w:ascii="宋体" w:hAnsi="宋体"/>
                <w:szCs w:val="21"/>
                <w:lang w:val="en-US" w:eastAsia="zh-CN"/>
              </w:rPr>
              <w:t>规划设计、</w:t>
            </w:r>
            <w:r>
              <w:rPr>
                <w:rFonts w:hint="eastAsia" w:ascii="宋体" w:hAnsi="宋体"/>
                <w:szCs w:val="21"/>
              </w:rPr>
              <w:t>勘查、测量、编制、出具报告等）</w:t>
            </w:r>
          </w:p>
          <w:p>
            <w:pPr>
              <w:adjustRightInd w:val="0"/>
              <w:snapToGrid w:val="0"/>
              <w:rPr>
                <w:rFonts w:ascii="宋体" w:hAnsi="宋体"/>
                <w:szCs w:val="21"/>
              </w:rPr>
            </w:pPr>
            <w:r>
              <w:rPr>
                <w:rFonts w:hint="eastAsia" w:ascii="宋体" w:hAnsi="宋体"/>
                <w:szCs w:val="21"/>
              </w:rPr>
              <w:t>重点审核部门：</w:t>
            </w:r>
            <w:r>
              <w:rPr>
                <w:rFonts w:hint="eastAsia" w:ascii="宋体" w:hAnsi="宋体"/>
                <w:szCs w:val="21"/>
                <w:lang w:eastAsia="zh-CN"/>
              </w:rPr>
              <w:t>办公室</w:t>
            </w:r>
            <w:r>
              <w:rPr>
                <w:rFonts w:hint="eastAsia" w:ascii="宋体" w:hAnsi="宋体"/>
                <w:szCs w:val="21"/>
              </w:rPr>
              <w:t>、业务部、</w:t>
            </w:r>
            <w:r>
              <w:rPr>
                <w:rFonts w:hint="eastAsia" w:ascii="宋体" w:hAnsi="宋体"/>
                <w:szCs w:val="21"/>
                <w:lang w:eastAsia="zh-CN"/>
              </w:rPr>
              <w:t>测绘部</w:t>
            </w:r>
            <w:r>
              <w:rPr>
                <w:rFonts w:hint="eastAsia" w:ascii="宋体" w:hAnsi="宋体"/>
                <w:szCs w:val="21"/>
              </w:rPr>
              <w:t>、</w:t>
            </w:r>
            <w:r>
              <w:rPr>
                <w:rFonts w:hint="eastAsia" w:ascii="宋体" w:hAnsi="宋体"/>
                <w:szCs w:val="21"/>
                <w:lang w:val="en-US" w:eastAsia="zh-CN"/>
              </w:rPr>
              <w:t>规划设计部</w:t>
            </w:r>
            <w:r>
              <w:rPr>
                <w:rFonts w:hint="eastAsia" w:ascii="宋体" w:hAnsi="宋体"/>
                <w:szCs w:val="21"/>
              </w:rPr>
              <w:t>。</w:t>
            </w:r>
          </w:p>
          <w:p>
            <w:pPr>
              <w:spacing w:line="400" w:lineRule="exact"/>
              <w:rPr>
                <w:rFonts w:ascii="宋体"/>
                <w:b/>
                <w:color w:val="000000"/>
                <w:sz w:val="20"/>
              </w:rPr>
            </w:pPr>
            <w:r>
              <w:rPr>
                <w:rFonts w:hint="eastAsia" w:ascii="宋体" w:hAnsi="宋体"/>
                <w:szCs w:val="21"/>
              </w:rPr>
              <w:t>重点审核过程：服务的控制、顾客满意；产品和服务放行、不合格产品和服务</w:t>
            </w:r>
          </w:p>
          <w:p>
            <w:pPr>
              <w:adjustRightInd w:val="0"/>
              <w:snapToGrid w:val="0"/>
              <w:rPr>
                <w:rFonts w:ascii="宋体" w:hAnsi="宋体"/>
                <w:kern w:val="0"/>
                <w:szCs w:val="21"/>
              </w:rPr>
            </w:pPr>
            <w:r>
              <w:rPr>
                <w:rFonts w:hint="eastAsia" w:ascii="宋体" w:hAnsi="宋体"/>
                <w:szCs w:val="21"/>
              </w:rPr>
              <w:t>重点审核场所：办公场所、</w:t>
            </w:r>
            <w:r>
              <w:rPr>
                <w:rFonts w:hint="eastAsia" w:ascii="宋体" w:hAnsi="宋体"/>
                <w:szCs w:val="21"/>
                <w:lang w:val="en-US" w:eastAsia="zh-CN"/>
              </w:rPr>
              <w:t>测绘</w:t>
            </w:r>
            <w:r>
              <w:rPr>
                <w:rFonts w:hint="eastAsia" w:ascii="宋体" w:hAnsi="宋体"/>
                <w:szCs w:val="21"/>
              </w:rPr>
              <w:t>服务场所。</w:t>
            </w:r>
          </w:p>
        </w:tc>
        <w:tc>
          <w:tcPr>
            <w:tcW w:w="1691" w:type="dxa"/>
          </w:tcPr>
          <w:p>
            <w:pPr>
              <w:spacing w:line="440" w:lineRule="exact"/>
              <w:jc w:val="center"/>
              <w:rPr>
                <w:rFonts w:ascii="宋体" w:hAnsi="宋体"/>
                <w:szCs w:val="21"/>
              </w:rPr>
            </w:pPr>
          </w:p>
        </w:tc>
        <w:tc>
          <w:tcPr>
            <w:tcW w:w="918" w:type="dxa"/>
          </w:tcPr>
          <w:p>
            <w:pPr>
              <w:spacing w:line="440" w:lineRule="exact"/>
              <w:jc w:val="center"/>
              <w:rPr>
                <w:rFonts w:hint="eastAsia" w:ascii="宋体" w:hAnsi="宋体"/>
                <w:szCs w:val="21"/>
              </w:rPr>
            </w:pPr>
          </w:p>
        </w:tc>
      </w:tr>
    </w:tbl>
    <w:p/>
    <w:p>
      <w:pPr>
        <w:pStyle w:val="5"/>
      </w:pPr>
      <w:r>
        <w:rPr>
          <w:rFonts w:hint="eastAsia"/>
        </w:rPr>
        <w:t>说明：不符合标注N</w:t>
      </w: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E47C53"/>
    <w:multiLevelType w:val="singleLevel"/>
    <w:tmpl w:val="95E47C5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6E50E4"/>
    <w:rsid w:val="36FC423A"/>
    <w:rsid w:val="38D10C4E"/>
    <w:rsid w:val="6A6756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Plain Text"/>
    <w:basedOn w:val="1"/>
    <w:qFormat/>
    <w:uiPriority w:val="0"/>
    <w:rPr>
      <w:rFonts w:ascii="宋体" w:hAnsi="Courier New" w:cs="Courier New"/>
      <w:sz w:val="24"/>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99"/>
    <w:rPr>
      <w:rFonts w:ascii="Times New Roman" w:hAnsi="Times New Roman" w:eastAsia="宋体" w:cs="Times New Roman"/>
      <w:sz w:val="18"/>
      <w:szCs w:val="18"/>
    </w:rPr>
  </w:style>
  <w:style w:type="character" w:customStyle="1" w:styleId="10">
    <w:name w:val="页脚 Char"/>
    <w:basedOn w:val="8"/>
    <w:link w:val="5"/>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17</TotalTime>
  <ScaleCrop>false</ScaleCrop>
  <LinksUpToDate>false</LinksUpToDate>
  <CharactersWithSpaces>100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2020-12-12T03:47:07Z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