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重庆新福佰科技有限公司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0671-2020-Q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915002273049128183</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rPr>
            </w:pPr>
            <w:r>
              <w:rPr>
                <w:rFonts w:hint="eastAsia"/>
                <w:color w:val="000000" w:themeColor="text1"/>
                <w:szCs w:val="21"/>
              </w:rPr>
              <w:t>提供所有影响符合性的外包过程的信息</w:t>
            </w:r>
          </w:p>
          <w:p>
            <w:pPr>
              <w:rPr>
                <w:color w:val="000000" w:themeColor="text1"/>
                <w:szCs w:val="21"/>
              </w:rPr>
            </w:pPr>
            <w:r>
              <w:rPr>
                <w:rFonts w:hint="eastAsia"/>
                <w:color w:val="000000" w:themeColor="text1"/>
                <w:szCs w:val="21"/>
              </w:rPr>
              <w:t>注：</w:t>
            </w:r>
          </w:p>
        </w:tc>
        <w:tc>
          <w:tcPr>
            <w:tcW w:w="1963" w:type="dxa"/>
          </w:tcPr>
          <w:p>
            <w:pPr>
              <w:rPr>
                <w:color w:val="000000" w:themeColor="text1"/>
                <w:szCs w:val="21"/>
              </w:rPr>
            </w:pPr>
            <w:r>
              <w:rPr>
                <w:rFonts w:hint="eastAsia"/>
                <w:color w:val="000000" w:themeColor="text1"/>
                <w:szCs w:val="21"/>
              </w:rPr>
              <w:t>与实际相符</w:t>
            </w:r>
          </w:p>
          <w:p>
            <w:pPr>
              <w:rPr>
                <w:color w:val="000000" w:themeColor="text1"/>
                <w:szCs w:val="21"/>
              </w:rPr>
            </w:pPr>
            <w:r>
              <w:rPr>
                <w:rFonts w:hint="eastAsia"/>
                <w:color w:val="000000" w:themeColor="text1"/>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bookmarkStart w:id="2" w:name="_GoBack" w:colFirst="1" w:colLast="1"/>
            <w:r>
              <w:rPr>
                <w:rFonts w:hint="eastAsia"/>
                <w:color w:val="000000"/>
              </w:rPr>
              <w:t>17</w:t>
            </w:r>
          </w:p>
        </w:tc>
        <w:tc>
          <w:tcPr>
            <w:tcW w:w="5405" w:type="dxa"/>
          </w:tcPr>
          <w:p>
            <w:pPr>
              <w:adjustRightInd w:val="0"/>
              <w:snapToGrid w:val="0"/>
              <w:rPr>
                <w:color w:val="auto"/>
                <w:szCs w:val="21"/>
              </w:rPr>
            </w:pPr>
            <w:r>
              <w:rPr>
                <w:rFonts w:hint="eastAsia"/>
                <w:color w:val="auto"/>
                <w:szCs w:val="21"/>
              </w:rPr>
              <w:t>提供二阶段审核时的产品生产现场或施工现场</w:t>
            </w:r>
          </w:p>
          <w:p>
            <w:pPr>
              <w:adjustRightInd w:val="0"/>
              <w:snapToGrid w:val="0"/>
              <w:rPr>
                <w:color w:val="auto"/>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auto"/>
                <w:szCs w:val="21"/>
              </w:rPr>
            </w:pPr>
            <w:r>
              <w:rPr>
                <w:rFonts w:hint="eastAsia"/>
                <w:color w:val="auto"/>
                <w:szCs w:val="21"/>
              </w:rPr>
              <w:t>国家对产品质量抽查报告或型式检验送检报告</w:t>
            </w:r>
          </w:p>
          <w:p>
            <w:pPr>
              <w:adjustRightInd w:val="0"/>
              <w:snapToGrid w:val="0"/>
              <w:rPr>
                <w:color w:val="auto"/>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drawing>
                <wp:anchor distT="0" distB="0" distL="114300" distR="114300" simplePos="0" relativeHeight="251788288" behindDoc="1" locked="0" layoutInCell="1" allowOverlap="1">
                  <wp:simplePos x="0" y="0"/>
                  <wp:positionH relativeFrom="column">
                    <wp:posOffset>2959100</wp:posOffset>
                  </wp:positionH>
                  <wp:positionV relativeFrom="paragraph">
                    <wp:posOffset>338455</wp:posOffset>
                  </wp:positionV>
                  <wp:extent cx="590550" cy="428625"/>
                  <wp:effectExtent l="0" t="0" r="3810" b="13335"/>
                  <wp:wrapNone/>
                  <wp:docPr id="2" name="图片 5"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24309\AppData\Local\Temp\WeChat Files\5990baca09647c352f1321b31faa90a.jpg"/>
                          <pic:cNvPicPr>
                            <a:picLocks noChangeAspect="1"/>
                          </pic:cNvPicPr>
                        </pic:nvPicPr>
                        <pic:blipFill>
                          <a:blip r:embed="rId5"/>
                          <a:stretch>
                            <a:fillRect/>
                          </a:stretch>
                        </pic:blipFill>
                        <pic:spPr>
                          <a:xfrm>
                            <a:off x="0" y="0"/>
                            <a:ext cx="590550" cy="428625"/>
                          </a:xfrm>
                          <a:prstGeom prst="rect">
                            <a:avLst/>
                          </a:prstGeom>
                          <a:noFill/>
                          <a:ln>
                            <a:noFill/>
                          </a:ln>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b/>
                <w:sz w:val="21"/>
                <w:szCs w:val="21"/>
              </w:rPr>
              <w:t>2020年12月10日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b/>
                <w:sz w:val="21"/>
                <w:szCs w:val="21"/>
              </w:rPr>
              <w:t>2020年12月10日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5E612A"/>
    <w:rsid w:val="412D64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2020-12-11T05:28:57Z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