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r>
        <w:rPr>
          <w:rFonts w:hint="eastAsia" w:ascii="宋体" w:hAnsi="宋体"/>
          <w:b/>
          <w:bCs/>
          <w:sz w:val="24"/>
          <w:szCs w:val="24"/>
        </w:rPr>
        <w:t>编  号：</w:t>
      </w:r>
      <w:bookmarkStart w:id="0" w:name="合同编号"/>
      <w:r>
        <w:rPr>
          <w:b/>
          <w:bCs/>
          <w:sz w:val="24"/>
          <w:szCs w:val="24"/>
        </w:rPr>
        <w:t>0083-2020-E</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重庆邦瑞新材料有限公司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杨珍全</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default" w:ascii="Times New Roman" w:hAnsi="Times New Roman" w:eastAsia="宋体" w:cs="Times New Roman"/>
                <w:b/>
                <w:color w:val="FF0000"/>
                <w:kern w:val="2"/>
                <w:sz w:val="20"/>
                <w:szCs w:val="20"/>
                <w:lang w:val="en-US" w:eastAsia="zh-CN" w:bidi="ar-SA"/>
              </w:rPr>
            </w:pPr>
            <w:r>
              <w:rPr>
                <w:b/>
                <w:color w:val="FF0000"/>
                <w:sz w:val="20"/>
                <w:szCs w:val="20"/>
              </w:rPr>
              <w:t>杨珍全</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组长</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审核员</w:t>
            </w:r>
          </w:p>
        </w:tc>
        <w:tc>
          <w:tcPr>
            <w:tcW w:w="2333"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 24001-2016/ISO14001:2015</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重庆邦瑞新材料有限公司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重庆市北部新区高新园民安大道465号附26号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401120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重庆市北部新区高新园民安大道465号附26号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401120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李瑞婷</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17384093150</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杨震峰</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杨震峰</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刘成平</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增强型改性发泡水泥保温板的销售所涉及的相关环境管理活动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29.11.03</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2019-09-05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综合部</w:t>
            </w:r>
            <w:r>
              <w:rPr>
                <w:rFonts w:hint="eastAsia" w:ascii="宋体" w:hAnsi="宋体"/>
                <w:b/>
                <w:color w:val="000000" w:themeColor="text1"/>
                <w:sz w:val="20"/>
                <w:szCs w:val="20"/>
                <w:lang w:eastAsia="zh-CN"/>
              </w:rPr>
              <w:t>（含财务）</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采购</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不合格品控制；纠正和预防措施控制；外部供方管理；产品验收管理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销售</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不合格品控制；纠正和预防措施控制；合同管理；</w:t>
            </w:r>
            <w:r>
              <w:rPr>
                <w:rFonts w:hint="eastAsia" w:ascii="宋体" w:hAnsi="宋体"/>
                <w:b/>
                <w:color w:val="000000" w:themeColor="text1"/>
                <w:sz w:val="20"/>
                <w:szCs w:val="20"/>
                <w:lang w:eastAsia="zh-CN"/>
              </w:rPr>
              <w:t>产品交付管理</w:t>
            </w:r>
            <w:r>
              <w:rPr>
                <w:rFonts w:hint="eastAsia" w:ascii="宋体" w:hAnsi="宋体"/>
                <w:b/>
                <w:color w:val="000000" w:themeColor="text1"/>
                <w:sz w:val="20"/>
                <w:szCs w:val="20"/>
              </w:rPr>
              <w:t>；</w:t>
            </w:r>
            <w:r>
              <w:rPr>
                <w:rFonts w:hint="eastAsia" w:ascii="宋体" w:hAnsi="宋体"/>
                <w:b/>
                <w:color w:val="000000" w:themeColor="text1"/>
                <w:sz w:val="20"/>
                <w:szCs w:val="20"/>
                <w:lang w:eastAsia="zh-CN"/>
              </w:rPr>
              <w:t>顾客</w:t>
            </w:r>
            <w:r>
              <w:rPr>
                <w:rFonts w:hint="eastAsia" w:ascii="宋体" w:hAnsi="宋体"/>
                <w:b/>
                <w:color w:val="000000" w:themeColor="text1"/>
                <w:sz w:val="20"/>
                <w:szCs w:val="20"/>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增强型改性发泡水泥保温板的销售</w:t>
            </w:r>
          </w:p>
        </w:tc>
        <w:tc>
          <w:tcPr>
            <w:tcW w:w="2519" w:type="dxa"/>
          </w:tcPr>
          <w:p>
            <w:pPr>
              <w:rPr>
                <w:b/>
                <w:color w:val="000000" w:themeColor="text1"/>
                <w:sz w:val="20"/>
                <w:szCs w:val="20"/>
              </w:rPr>
            </w:pPr>
            <w:r>
              <w:rPr>
                <w:rFonts w:hint="eastAsia"/>
                <w:b/>
                <w:color w:val="000000" w:themeColor="text1"/>
                <w:sz w:val="20"/>
                <w:szCs w:val="20"/>
              </w:rPr>
              <w:t>服务</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szCs w:val="21"/>
                <w:lang w:val="en-US" w:eastAsia="zh-CN"/>
              </w:rPr>
              <w:t>DBJ50/T-185-2019</w:t>
            </w:r>
            <w:r>
              <w:rPr>
                <w:rFonts w:hint="eastAsia" w:ascii="宋体" w:hAnsi="宋体"/>
                <w:szCs w:val="21"/>
              </w:rPr>
              <w:t xml:space="preserve"> </w:t>
            </w:r>
            <w:r>
              <w:rPr>
                <w:rFonts w:hint="eastAsia"/>
                <w:szCs w:val="21"/>
                <w:lang w:val="en-US" w:eastAsia="zh-CN"/>
              </w:rPr>
              <w:t>增强型改性发泡水泥保温板建筑保温系统应用技术标准</w:t>
            </w:r>
            <w:r>
              <w:rPr>
                <w:rFonts w:hint="eastAsia" w:ascii="宋体" w:hAnsi="宋体"/>
                <w:szCs w:val="21"/>
              </w:rPr>
              <w:t>、</w:t>
            </w:r>
            <w:r>
              <w:rPr>
                <w:rFonts w:ascii="宋体" w:hAnsi="宋体" w:cs="Arial"/>
                <w:color w:val="000000"/>
                <w:szCs w:val="21"/>
                <w:shd w:val="clear" w:color="auto" w:fill="FFFFFF"/>
              </w:rPr>
              <w:t>中华人民共和国产品质量法</w:t>
            </w:r>
            <w:r>
              <w:rPr>
                <w:rFonts w:hint="eastAsia" w:ascii="宋体" w:hAnsi="宋体" w:cs="Arial"/>
                <w:color w:val="000000"/>
                <w:szCs w:val="21"/>
                <w:shd w:val="clear" w:color="auto" w:fill="FFFFFF"/>
              </w:rPr>
              <w:t>、</w:t>
            </w:r>
            <w:r>
              <w:rPr>
                <w:rFonts w:hint="eastAsia"/>
              </w:rPr>
              <w:t>中华人民共和国消费者权益保护法</w:t>
            </w:r>
            <w:r>
              <w:rPr>
                <w:rFonts w:hint="eastAsia" w:ascii="宋体" w:hAnsi="宋体"/>
                <w:color w:val="000000"/>
                <w:szCs w:val="21"/>
              </w:rPr>
              <w:t>、</w:t>
            </w:r>
            <w:r>
              <w:rPr>
                <w:rFonts w:hint="eastAsia"/>
              </w:rPr>
              <w:t>欺诈消费者行为处罚办法</w:t>
            </w:r>
            <w:r>
              <w:rPr>
                <w:rFonts w:hint="eastAsia" w:ascii="宋体" w:hAnsi="宋体"/>
                <w:color w:val="000000"/>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rFonts w:hint="eastAsia" w:ascii="Times New Roman" w:hAnsi="Times New Roman" w:eastAsia="宋体" w:cs="Times New Roman"/>
          <w:b/>
          <w:color w:val="FF0000"/>
          <w:spacing w:val="-10"/>
          <w:szCs w:val="21"/>
          <w:lang w:eastAsia="zh-CN"/>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lang w:val="en-US" w:eastAsia="zh-CN"/>
        </w:rPr>
        <w:t>9</w:t>
      </w:r>
      <w:r>
        <w:rPr>
          <w:rFonts w:hint="eastAsia"/>
          <w:b/>
          <w:color w:val="000000" w:themeColor="text1"/>
          <w:spacing w:val="-10"/>
          <w:szCs w:val="21"/>
        </w:rPr>
        <w:t>月</w:t>
      </w:r>
      <w:bookmarkStart w:id="21" w:name="OLE_LINK1"/>
      <w:r>
        <w:rPr>
          <w:rFonts w:hint="eastAsia"/>
          <w:b/>
          <w:color w:val="000000" w:themeColor="text1"/>
          <w:spacing w:val="-10"/>
          <w:szCs w:val="21"/>
          <w:u w:val="single"/>
        </w:rPr>
        <w:t>5</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rPr>
        <w:t>年</w:t>
      </w:r>
      <w:r>
        <w:rPr>
          <w:rFonts w:hint="eastAsia"/>
          <w:b/>
          <w:color w:val="000000" w:themeColor="text1"/>
          <w:spacing w:val="-10"/>
          <w:szCs w:val="21"/>
          <w:u w:val="single"/>
          <w:lang w:val="en-US" w:eastAsia="zh-CN"/>
        </w:rPr>
        <w:t>4</w:t>
      </w:r>
      <w:r>
        <w:rPr>
          <w:rFonts w:hint="eastAsia"/>
          <w:b/>
          <w:color w:val="000000" w:themeColor="text1"/>
          <w:spacing w:val="-10"/>
          <w:szCs w:val="21"/>
        </w:rPr>
        <w:t>月</w:t>
      </w:r>
      <w:r>
        <w:rPr>
          <w:rFonts w:hint="eastAsia"/>
          <w:b/>
          <w:color w:val="000000" w:themeColor="text1"/>
          <w:spacing w:val="-10"/>
          <w:szCs w:val="21"/>
          <w:u w:val="single"/>
          <w:lang w:val="en-US" w:eastAsia="zh-CN"/>
        </w:rPr>
        <w:t>3</w:t>
      </w:r>
      <w:r>
        <w:rPr>
          <w:rFonts w:hint="eastAsia"/>
          <w:b/>
          <w:color w:val="000000" w:themeColor="text1"/>
          <w:spacing w:val="-10"/>
          <w:szCs w:val="21"/>
        </w:rPr>
        <w:t>日。</w:t>
      </w:r>
      <w:r>
        <w:rPr>
          <w:rFonts w:hint="eastAsia"/>
          <w:b/>
          <w:color w:val="000000" w:themeColor="text1"/>
          <w:spacing w:val="-10"/>
          <w:szCs w:val="21"/>
          <w:lang w:eastAsia="zh-CN"/>
        </w:rPr>
        <w:t>（</w:t>
      </w:r>
      <w:r>
        <w:rPr>
          <w:rFonts w:hint="eastAsia"/>
          <w:b/>
          <w:color w:val="FF0000"/>
          <w:spacing w:val="-10"/>
          <w:szCs w:val="21"/>
          <w:lang w:eastAsia="zh-CN"/>
        </w:rPr>
        <w:t>现场补充审核复盖时</w:t>
      </w:r>
      <w:r>
        <w:rPr>
          <w:rFonts w:hint="eastAsia" w:ascii="Times New Roman" w:hAnsi="Times New Roman" w:eastAsia="宋体" w:cs="Times New Roman"/>
          <w:b/>
          <w:color w:val="FF0000"/>
          <w:spacing w:val="-10"/>
          <w:szCs w:val="21"/>
          <w:lang w:eastAsia="zh-CN"/>
        </w:rPr>
        <w:t>间20</w:t>
      </w:r>
      <w:r>
        <w:rPr>
          <w:rFonts w:hint="eastAsia" w:ascii="Times New Roman" w:hAnsi="Times New Roman" w:eastAsia="宋体" w:cs="Times New Roman"/>
          <w:b/>
          <w:color w:val="FF0000"/>
          <w:spacing w:val="-10"/>
          <w:szCs w:val="21"/>
          <w:lang w:val="en-US" w:eastAsia="zh-CN"/>
        </w:rPr>
        <w:t>20</w:t>
      </w:r>
      <w:r>
        <w:rPr>
          <w:rFonts w:hint="eastAsia" w:ascii="Times New Roman" w:hAnsi="Times New Roman" w:eastAsia="宋体" w:cs="Times New Roman"/>
          <w:b/>
          <w:color w:val="FF0000"/>
          <w:spacing w:val="-10"/>
          <w:szCs w:val="21"/>
          <w:lang w:eastAsia="zh-CN"/>
        </w:rPr>
        <w:t xml:space="preserve"> 年 </w:t>
      </w:r>
      <w:r>
        <w:rPr>
          <w:rFonts w:hint="eastAsia" w:ascii="Times New Roman" w:hAnsi="Times New Roman" w:eastAsia="宋体" w:cs="Times New Roman"/>
          <w:b/>
          <w:color w:val="FF0000"/>
          <w:spacing w:val="-10"/>
          <w:szCs w:val="21"/>
          <w:lang w:val="en-US" w:eastAsia="zh-CN"/>
        </w:rPr>
        <w:t>4</w:t>
      </w:r>
      <w:r>
        <w:rPr>
          <w:rFonts w:hint="eastAsia" w:ascii="Times New Roman" w:hAnsi="Times New Roman" w:eastAsia="宋体" w:cs="Times New Roman"/>
          <w:b/>
          <w:color w:val="FF0000"/>
          <w:spacing w:val="-10"/>
          <w:szCs w:val="21"/>
          <w:lang w:eastAsia="zh-CN"/>
        </w:rPr>
        <w:t xml:space="preserve"> 月</w:t>
      </w:r>
      <w:r>
        <w:rPr>
          <w:rFonts w:hint="eastAsia" w:ascii="Times New Roman" w:hAnsi="Times New Roman" w:eastAsia="宋体" w:cs="Times New Roman"/>
          <w:b/>
          <w:color w:val="FF0000"/>
          <w:spacing w:val="-10"/>
          <w:szCs w:val="21"/>
          <w:lang w:val="en-US" w:eastAsia="zh-CN"/>
        </w:rPr>
        <w:t>3</w:t>
      </w:r>
      <w:r>
        <w:rPr>
          <w:rFonts w:hint="eastAsia" w:ascii="Times New Roman" w:hAnsi="Times New Roman" w:eastAsia="宋体" w:cs="Times New Roman"/>
          <w:b/>
          <w:color w:val="FF0000"/>
          <w:spacing w:val="-10"/>
          <w:szCs w:val="21"/>
          <w:lang w:eastAsia="zh-CN"/>
        </w:rPr>
        <w:t>日</w:t>
      </w:r>
      <w:r>
        <w:rPr>
          <w:rFonts w:hint="eastAsia" w:ascii="Times New Roman" w:hAnsi="Times New Roman" w:eastAsia="宋体" w:cs="Times New Roman"/>
          <w:b/>
          <w:color w:val="FF0000"/>
          <w:spacing w:val="-10"/>
          <w:szCs w:val="21"/>
          <w:lang w:val="en-US" w:eastAsia="zh-CN"/>
        </w:rPr>
        <w:t>至2020年12月14日）</w:t>
      </w:r>
      <w:r>
        <w:rPr>
          <w:rFonts w:hint="eastAsia" w:ascii="Times New Roman" w:hAnsi="Times New Roman" w:eastAsia="宋体" w:cs="Times New Roman"/>
          <w:b/>
          <w:color w:val="FF0000"/>
          <w:spacing w:val="-10"/>
          <w:szCs w:val="21"/>
          <w:lang w:eastAsia="zh-CN"/>
        </w:rPr>
        <w:t>。</w:t>
      </w:r>
    </w:p>
    <w:p>
      <w:pPr>
        <w:spacing w:line="360" w:lineRule="auto"/>
        <w:ind w:left="-191" w:leftChars="-337" w:hanging="517" w:hangingChars="271"/>
        <w:rPr>
          <w:b/>
          <w:color w:val="000000" w:themeColor="text1"/>
          <w:spacing w:val="-10"/>
          <w:szCs w:val="21"/>
        </w:rPr>
      </w:pP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w:t>
            </w:r>
            <w:r>
              <w:rPr>
                <w:rFonts w:hint="eastAsia" w:ascii="宋体" w:hAnsi="宋体" w:cs="宋体"/>
                <w:color w:val="000000"/>
                <w:szCs w:val="21"/>
                <w:lang w:eastAsia="zh-CN"/>
              </w:rPr>
              <w:t>市场监管局</w:t>
            </w:r>
            <w:r>
              <w:rPr>
                <w:rFonts w:hint="eastAsia" w:ascii="宋体" w:hAnsi="宋体" w:cs="宋体"/>
                <w:color w:val="000000"/>
                <w:szCs w:val="21"/>
              </w:rPr>
              <w:t>、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w:t>
            </w:r>
            <w:r>
              <w:rPr>
                <w:rFonts w:hint="eastAsia"/>
                <w:b/>
                <w:color w:val="000000" w:themeColor="text1"/>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jc w:val="left"/>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color w:val="000000"/>
                <w:sz w:val="21"/>
                <w:szCs w:val="21"/>
              </w:rPr>
              <w:t>“</w:t>
            </w:r>
            <w:r>
              <w:rPr>
                <w:rFonts w:hint="eastAsia" w:ascii="宋体" w:hAnsi="宋体" w:cs="宋体"/>
                <w:bCs/>
                <w:kern w:val="0"/>
                <w:sz w:val="21"/>
                <w:szCs w:val="21"/>
              </w:rPr>
              <w:t>防治污染、节能低耗、守法经营、持续发展</w:t>
            </w: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525" w:firstLineChars="250"/>
              <w:rPr>
                <w:rFonts w:ascii="宋体" w:hAnsi="宋体"/>
                <w:b/>
                <w:color w:val="000000" w:themeColor="text1"/>
              </w:rPr>
            </w:pPr>
            <w:r>
              <w:rPr>
                <w:rFonts w:hint="eastAsia"/>
                <w:color w:val="000000"/>
                <w:szCs w:val="21"/>
              </w:rPr>
              <w:t>环境目标</w:t>
            </w:r>
            <w:r>
              <w:rPr>
                <w:rFonts w:hint="eastAsia"/>
                <w:color w:val="000000"/>
                <w:szCs w:val="21"/>
                <w:lang w:eastAsia="zh-CN"/>
              </w:rPr>
              <w:t>考核情况</w:t>
            </w:r>
            <w:r>
              <w:rPr>
                <w:rFonts w:hint="eastAsia"/>
                <w:color w:val="000000"/>
                <w:szCs w:val="21"/>
              </w:rPr>
              <w:t>：1）</w:t>
            </w:r>
            <w:r>
              <w:rPr>
                <w:rFonts w:hint="eastAsia" w:ascii="宋体" w:hAnsi="宋体"/>
                <w:color w:val="000000"/>
                <w:sz w:val="21"/>
                <w:szCs w:val="21"/>
                <w:highlight w:val="none"/>
              </w:rPr>
              <w:t>固废</w:t>
            </w:r>
            <w:r>
              <w:rPr>
                <w:rFonts w:hint="eastAsia" w:ascii="宋体" w:hAnsi="宋体"/>
                <w:color w:val="000000"/>
                <w:sz w:val="21"/>
                <w:szCs w:val="21"/>
                <w:highlight w:val="none"/>
                <w:lang w:val="en-US" w:eastAsia="zh-CN"/>
              </w:rPr>
              <w:t>、危险有害废弃物质合规处理率</w:t>
            </w:r>
            <w:r>
              <w:rPr>
                <w:rFonts w:hint="eastAsia" w:ascii="宋体" w:hAnsi="宋体"/>
                <w:color w:val="000000"/>
                <w:sz w:val="21"/>
                <w:szCs w:val="21"/>
                <w:highlight w:val="none"/>
              </w:rPr>
              <w:t>100%</w:t>
            </w:r>
            <w:r>
              <w:rPr>
                <w:rFonts w:hint="eastAsia" w:ascii="宋体" w:hAnsi="宋体" w:cs="宋体"/>
                <w:color w:val="000000"/>
                <w:kern w:val="0"/>
                <w:sz w:val="21"/>
                <w:szCs w:val="21"/>
                <w:highlight w:val="none"/>
              </w:rPr>
              <w:t>；</w:t>
            </w:r>
            <w:r>
              <w:rPr>
                <w:rFonts w:hint="eastAsia"/>
                <w:szCs w:val="21"/>
              </w:rPr>
              <w:t>；2）</w:t>
            </w:r>
            <w:r>
              <w:rPr>
                <w:rFonts w:hint="eastAsia" w:ascii="宋体" w:hAnsi="宋体"/>
                <w:color w:val="000000"/>
                <w:sz w:val="21"/>
                <w:szCs w:val="21"/>
                <w:highlight w:val="none"/>
              </w:rPr>
              <w:t>无火灾事故发生；</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5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增强型改性发泡水泥保温板的销售</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0" w:lineRule="atLeast"/>
              <w:jc w:val="left"/>
              <w:rPr>
                <w:rFonts w:ascii="宋体" w:hAnsi="宋体"/>
                <w:b/>
                <w:color w:val="000000" w:themeColor="text1"/>
                <w:sz w:val="20"/>
                <w:szCs w:val="20"/>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highlight w:val="none"/>
              </w:rPr>
              <w:t>、</w:t>
            </w:r>
            <w:r>
              <w:rPr>
                <w:rFonts w:hint="eastAsia" w:ascii="宋体" w:hAnsi="宋体"/>
                <w:szCs w:val="21"/>
                <w:highlight w:val="none"/>
              </w:rPr>
              <w:t>办公场所面积</w:t>
            </w:r>
            <w:r>
              <w:rPr>
                <w:rFonts w:hint="eastAsia" w:ascii="宋体" w:hAnsi="宋体"/>
                <w:szCs w:val="21"/>
                <w:highlight w:val="none"/>
                <w:lang w:val="en-US" w:eastAsia="zh-CN"/>
              </w:rPr>
              <w:t>500</w:t>
            </w:r>
            <w:r>
              <w:rPr>
                <w:rFonts w:hint="eastAsia" w:ascii="宋体" w:hAnsi="宋体"/>
                <w:szCs w:val="21"/>
                <w:highlight w:val="none"/>
              </w:rPr>
              <w:t>平方左右</w:t>
            </w:r>
            <w:r>
              <w:rPr>
                <w:rFonts w:hint="eastAsia" w:ascii="宋体" w:hAnsi="宋体"/>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设有面积30平方米的样品摆放间供客户参观</w:t>
            </w:r>
            <w:r>
              <w:rPr>
                <w:rFonts w:hint="eastAsia" w:ascii="宋体" w:hAnsi="宋体"/>
                <w:szCs w:val="21"/>
                <w:highlight w:val="none"/>
              </w:rPr>
              <w:t>。</w:t>
            </w:r>
            <w:r>
              <w:rPr>
                <w:rFonts w:hint="eastAsia" w:ascii="宋体" w:hAnsi="宋体" w:cs="宋体"/>
                <w:szCs w:val="21"/>
                <w:highlight w:val="none"/>
              </w:rPr>
              <w:t>主要设</w:t>
            </w:r>
            <w:r>
              <w:rPr>
                <w:rFonts w:hint="eastAsia" w:ascii="宋体" w:hAnsi="宋体" w:cs="宋体"/>
                <w:szCs w:val="21"/>
              </w:rPr>
              <w:t>备为电脑、打印机、传真机等办公设备</w:t>
            </w:r>
            <w:r>
              <w:rPr>
                <w:rFonts w:hint="eastAsia" w:ascii="宋体" w:hAnsi="宋体"/>
                <w:szCs w:val="21"/>
              </w:rPr>
              <w:t>，可以满足增强型改性发泡水泥保温板的销售的需要</w:t>
            </w:r>
            <w:r>
              <w:rPr>
                <w:rFonts w:hint="eastAsia" w:ascii="宋体" w:hAnsi="宋体" w:cs="宋体"/>
                <w:szCs w:val="21"/>
              </w:rPr>
              <w:t>。对设备按月方式进行点检维护保养，并实施。特种设备：无。公司未建立信息管理系统用于生产和服务。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0"/>
                <w:szCs w:val="20"/>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环境目标得到沟通和监视评价，通过数据的汇总统计、描述性统计等方法对目标进行了测量，总体已达到或超</w:t>
            </w:r>
            <w:r>
              <w:rPr>
                <w:rFonts w:hint="eastAsia" w:ascii="宋体" w:hAnsi="宋体" w:cs="宋体"/>
                <w:color w:val="000000"/>
                <w:szCs w:val="21"/>
                <w:highlight w:val="none"/>
              </w:rPr>
              <w:t>过了规定的目标值。通</w:t>
            </w:r>
            <w:r>
              <w:rPr>
                <w:rFonts w:hint="eastAsia" w:ascii="宋体" w:hAnsi="宋体" w:cs="宋体"/>
                <w:szCs w:val="21"/>
                <w:highlight w:val="none"/>
              </w:rPr>
              <w:t>过20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建立有《内部审核控制程序》，规定了内审频次一年一次，内审时间：2019年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日，拟定了审核实施表，明确了内审范围，内审人员经培训合格上岗，能力满足要求，未出现审核本部门情况，内审不符合项1项，</w:t>
            </w:r>
            <w:r>
              <w:rPr>
                <w:rFonts w:hint="eastAsia" w:ascii="宋体" w:hAnsi="宋体" w:cs="宋体"/>
                <w:szCs w:val="21"/>
              </w:rPr>
              <w:t>涉及综合部E</w:t>
            </w:r>
            <w:r>
              <w:rPr>
                <w:rFonts w:hint="eastAsia" w:ascii="宋体" w:hAnsi="宋体" w:cs="宋体"/>
                <w:szCs w:val="21"/>
                <w:lang w:val="en-US" w:eastAsia="zh-CN"/>
              </w:rPr>
              <w:t>7.4</w:t>
            </w:r>
            <w:r>
              <w:rPr>
                <w:rFonts w:hint="eastAsia" w:ascii="宋体" w:hAnsi="宋体" w:cs="宋体"/>
                <w:szCs w:val="21"/>
              </w:rPr>
              <w:t>条款</w:t>
            </w:r>
            <w:r>
              <w:rPr>
                <w:rFonts w:hint="eastAsia" w:ascii="宋体" w:hAnsi="宋体" w:cs="宋体"/>
                <w:szCs w:val="21"/>
                <w:lang w:eastAsia="zh-CN"/>
              </w:rPr>
              <w:t>不能提供信息沟通事项清单</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w:t>
            </w:r>
            <w:r>
              <w:rPr>
                <w:rFonts w:hint="eastAsia" w:ascii="宋体" w:hAnsi="宋体"/>
                <w:szCs w:val="21"/>
                <w:lang w:val="en-US" w:eastAsia="zh-CN"/>
              </w:rPr>
              <w:t>12</w:t>
            </w:r>
            <w:r>
              <w:rPr>
                <w:rFonts w:hint="eastAsia" w:ascii="宋体" w:hAnsi="宋体"/>
                <w:szCs w:val="21"/>
              </w:rPr>
              <w:t>月25日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highlight w:val="none"/>
        </w:rPr>
      </w:pPr>
      <w:r>
        <w:rPr>
          <w:rFonts w:hint="eastAsia"/>
          <w:b/>
          <w:color w:val="000000" w:themeColor="text1"/>
          <w:highlight w:val="none"/>
        </w:rPr>
        <w:t>1. 本次审核共开具不符合项报告</w:t>
      </w:r>
      <w:r>
        <w:rPr>
          <w:rFonts w:hint="eastAsia"/>
          <w:b/>
          <w:highlight w:val="none"/>
        </w:rPr>
        <w:t>1项；其中</w:t>
      </w:r>
      <w:r>
        <w:rPr>
          <w:b/>
          <w:highlight w:val="none"/>
        </w:rPr>
        <w:pict>
          <v:line id="直接连接符 1" o:spid="_x0000_s2052" o:spt="20" style="position:absolute;left:0pt;margin-left:210pt;margin-top:16.2pt;height:0pt;width:0pt;z-index:25171865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严重不符合0项，一般不符合 1项，观察项0项，分布在部门</w:t>
      </w:r>
      <w:r>
        <w:rPr>
          <w:rFonts w:hint="eastAsia"/>
          <w:b/>
          <w:highlight w:val="none"/>
          <w:lang w:eastAsia="zh-CN"/>
        </w:rPr>
        <w:t>综合</w:t>
      </w:r>
      <w:r>
        <w:rPr>
          <w:rFonts w:hint="eastAsia"/>
          <w:b/>
          <w:highlight w:val="none"/>
        </w:rPr>
        <w:t>部E</w:t>
      </w:r>
      <w:r>
        <w:rPr>
          <w:rFonts w:hint="eastAsia"/>
          <w:b/>
          <w:highlight w:val="none"/>
          <w:lang w:val="en-US" w:eastAsia="zh-CN"/>
        </w:rPr>
        <w:t>6.1.2</w:t>
      </w:r>
      <w:r>
        <w:rPr>
          <w:rFonts w:hint="eastAsia"/>
          <w:b/>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8"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Cs w:val="21"/>
              </w:rPr>
              <w:t>增强型改性发泡水泥保温板的销售及其相关环境管理活动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Times New Roman" w:hAnsi="Times New Roman" w:eastAsia="宋体" w:cs="Times New Roman"/>
          <w:b/>
          <w:color w:val="000000" w:themeColor="text1"/>
          <w:kern w:val="2"/>
          <w:sz w:val="26"/>
          <w:szCs w:val="26"/>
          <w:lang w:val="en-US" w:eastAsia="zh-CN" w:bidi="ar-SA"/>
        </w:rPr>
        <w:t xml:space="preserve">审核基于对可获得信息的抽样过程的免责声明； </w:t>
      </w:r>
    </w:p>
    <w:p>
      <w:pPr>
        <w:snapToGrid w:val="0"/>
        <w:spacing w:line="360" w:lineRule="auto"/>
        <w:ind w:left="-853" w:leftChars="-406" w:firstLine="424" w:firstLineChars="201"/>
        <w:jc w:val="left"/>
        <w:rPr>
          <w:rFonts w:ascii="方正仿宋简体" w:eastAsia="方正仿宋简体"/>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rFonts w:ascii="方正仿宋简体" w:eastAsia="方正仿宋简体"/>
          <w:b/>
          <w:color w:val="000000" w:themeColor="text1"/>
        </w:rPr>
      </w:pPr>
      <w:r>
        <w:rPr>
          <w:rFonts w:hint="eastAsia" w:ascii="宋体" w:hAnsi="宋体" w:eastAsia="宋体" w:cs="宋体"/>
          <w:b/>
          <w:color w:val="000000" w:themeColor="text1"/>
          <w:kern w:val="0"/>
          <w:sz w:val="26"/>
          <w:szCs w:val="26"/>
          <w:lang w:val="en-US" w:eastAsia="zh-CN" w:bidi="ar-SA"/>
        </w:rPr>
        <w:t>十二、</w:t>
      </w:r>
      <w:r>
        <w:rPr>
          <w:rFonts w:hint="eastAsia" w:ascii="Times New Roman" w:hAnsi="Times New Roman" w:cs="Times New Roman"/>
          <w:b/>
          <w:color w:val="000000" w:themeColor="text1"/>
          <w:sz w:val="26"/>
          <w:szCs w:val="26"/>
        </w:rPr>
        <w:t>不符合项纠正措施要求</w:t>
      </w:r>
    </w:p>
    <w:p>
      <w:pPr>
        <w:snapToGrid w:val="0"/>
        <w:spacing w:beforeLines="50" w:afterLines="50"/>
        <w:ind w:left="-163" w:leftChars="-405" w:hanging="687" w:hangingChars="326"/>
        <w:rPr>
          <w:rFonts w:ascii="方正仿宋简体" w:eastAsia="方正仿宋简体"/>
          <w:b/>
          <w:color w:val="000000" w:themeColor="text1"/>
        </w:rPr>
      </w:pPr>
      <w:r>
        <w:rPr>
          <w:rFonts w:hint="eastAsia" w:ascii="方正仿宋简体" w:eastAsia="方正仿宋简体"/>
          <w:b/>
          <w:color w:val="000000" w:themeColor="text1"/>
        </w:rPr>
        <w:t>一般不符合报告在30天，针对不符合原因制定并实施纠正措施。验证方式见不符合项报告。</w:t>
      </w:r>
    </w:p>
    <w:p>
      <w:pPr>
        <w:spacing w:beforeLines="50" w:afterLines="50"/>
        <w:ind w:left="1" w:leftChars="-405" w:hanging="851" w:hangingChars="326"/>
        <w:rPr>
          <w:rFonts w:hint="eastAsia" w:ascii="仿宋" w:hAnsi="仿宋" w:eastAsia="仿宋" w:cstheme="minorBidi"/>
          <w:b/>
          <w:bCs/>
          <w:color w:val="000000" w:themeColor="text1"/>
          <w:kern w:val="24"/>
          <w:sz w:val="28"/>
          <w:szCs w:val="28"/>
          <w:lang w:eastAsia="zh-CN"/>
        </w:rPr>
      </w:pPr>
      <w:r>
        <w:rPr>
          <w:rFonts w:hint="eastAsia" w:ascii="宋体" w:hAnsi="宋体" w:eastAsia="宋体" w:cs="宋体"/>
          <w:b/>
          <w:color w:val="000000" w:themeColor="text1"/>
          <w:kern w:val="0"/>
          <w:sz w:val="26"/>
          <w:szCs w:val="26"/>
          <w:lang w:val="en-US" w:eastAsia="zh-CN" w:bidi="ar-SA"/>
        </w:rPr>
        <w:t>十三、</w:t>
      </w:r>
      <w:r>
        <w:rPr>
          <w:rFonts w:hint="eastAsia" w:ascii="方正仿宋简体" w:eastAsia="方正仿宋简体"/>
          <w:b/>
          <w:color w:val="000000" w:themeColor="text1"/>
        </w:rPr>
        <w:t xml:space="preserve"> </w:t>
      </w:r>
      <w:r>
        <w:rPr>
          <w:rFonts w:hint="eastAsia" w:ascii="Times New Roman" w:hAnsi="Times New Roman" w:cs="Times New Roman"/>
          <w:b/>
          <w:color w:val="000000" w:themeColor="text1"/>
          <w:sz w:val="26"/>
          <w:szCs w:val="26"/>
        </w:rPr>
        <w:t>任何影响审核方案的重要事项：</w:t>
      </w:r>
      <w:r>
        <w:rPr>
          <w:rFonts w:hint="eastAsia" w:ascii="仿宋" w:hAnsi="仿宋" w:eastAsia="仿宋" w:cstheme="minorBidi"/>
          <w:b/>
          <w:bCs/>
          <w:color w:val="000000" w:themeColor="text1"/>
          <w:kern w:val="24"/>
          <w:sz w:val="28"/>
          <w:szCs w:val="28"/>
          <w:lang w:eastAsia="zh-CN"/>
        </w:rPr>
        <w:t>本次审核为远程审核，后续安排现场审核核验。</w:t>
      </w:r>
      <w:r>
        <w:rPr>
          <w:rFonts w:hint="eastAsia" w:ascii="Times New Roman" w:hAnsi="Times New Roman" w:eastAsia="宋体" w:cs="Times New Roman"/>
          <w:b/>
          <w:color w:val="FF0000"/>
          <w:sz w:val="24"/>
          <w:szCs w:val="24"/>
        </w:rPr>
        <w:t>现场验证远程审核的有效性。提供的相关证实经现场验证真实有效。</w:t>
      </w:r>
    </w:p>
    <w:p>
      <w:pPr>
        <w:spacing w:beforeLines="50" w:afterLines="50"/>
        <w:ind w:left="-163" w:leftChars="-405" w:hanging="687" w:hangingChars="326"/>
        <w:rPr>
          <w:rFonts w:ascii="方正仿宋简体" w:eastAsia="方正仿宋简体"/>
          <w:b/>
          <w:color w:val="000000" w:themeColor="text1"/>
        </w:rPr>
      </w:pPr>
    </w:p>
    <w:p>
      <w:pPr>
        <w:snapToGrid w:val="0"/>
        <w:spacing w:after="156" w:afterLines="50" w:line="360" w:lineRule="auto"/>
        <w:ind w:left="1" w:leftChars="-405" w:hanging="851" w:hangingChars="326"/>
        <w:rPr>
          <w:b/>
          <w:color w:val="000000" w:themeColor="text1"/>
          <w:sz w:val="16"/>
          <w:szCs w:val="16"/>
        </w:rPr>
      </w:pPr>
      <w:r>
        <w:rPr>
          <w:b/>
          <w:color w:val="000000" w:themeColor="text1"/>
          <w:sz w:val="26"/>
          <w:szCs w:val="26"/>
        </w:rPr>
        <w:drawing>
          <wp:anchor distT="0" distB="0" distL="0" distR="0" simplePos="0" relativeHeight="251762688" behindDoc="0" locked="0" layoutInCell="1" allowOverlap="1">
            <wp:simplePos x="0" y="0"/>
            <wp:positionH relativeFrom="column">
              <wp:posOffset>1556385</wp:posOffset>
            </wp:positionH>
            <wp:positionV relativeFrom="paragraph">
              <wp:posOffset>309880</wp:posOffset>
            </wp:positionV>
            <wp:extent cx="732790" cy="456565"/>
            <wp:effectExtent l="0" t="0" r="13970" b="635"/>
            <wp:wrapSquare wrapText="bothSides"/>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a:stretch>
                      <a:fillRect/>
                    </a:stretch>
                  </pic:blipFill>
                  <pic:spPr>
                    <a:xfrm>
                      <a:off x="0" y="0"/>
                      <a:ext cx="732790" cy="45656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bookmarkStart w:id="23" w:name="_GoBack"/>
      <w:bookmarkEnd w:id="23"/>
    </w:p>
    <w:p>
      <w:pPr>
        <w:snapToGrid w:val="0"/>
        <w:spacing w:after="156" w:afterLines="50" w:line="360" w:lineRule="auto"/>
        <w:ind w:left="1" w:leftChars="-32" w:hanging="68" w:hangingChars="26"/>
        <w:rPr>
          <w:b/>
          <w:color w:val="000000" w:themeColor="text1"/>
          <w:sz w:val="26"/>
          <w:szCs w:val="26"/>
        </w:rPr>
      </w:pPr>
      <w:r>
        <w:rPr>
          <w:b/>
          <w:color w:val="000000" w:themeColor="text1"/>
          <w:sz w:val="26"/>
          <w:szCs w:val="26"/>
        </w:rPr>
        <w:drawing>
          <wp:anchor distT="0" distB="0" distL="0" distR="0" simplePos="0" relativeHeight="251973632" behindDoc="0" locked="0" layoutInCell="1" allowOverlap="1">
            <wp:simplePos x="0" y="0"/>
            <wp:positionH relativeFrom="column">
              <wp:posOffset>3465195</wp:posOffset>
            </wp:positionH>
            <wp:positionV relativeFrom="paragraph">
              <wp:posOffset>29210</wp:posOffset>
            </wp:positionV>
            <wp:extent cx="878205" cy="547370"/>
            <wp:effectExtent l="0" t="0" r="5715" b="1270"/>
            <wp:wrapSquare wrapText="bothSides"/>
            <wp:docPr id="5"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新文档 2020-01-09 10.59.53_副本.jpg"/>
                    <pic:cNvPicPr>
                      <a:picLocks noChangeAspect="1" noChangeArrowheads="1"/>
                    </pic:cNvPicPr>
                  </pic:nvPicPr>
                  <pic:blipFill>
                    <a:blip r:embed="rId6" cstate="print"/>
                    <a:srcRect/>
                    <a:stretch>
                      <a:fillRect/>
                    </a:stretch>
                  </pic:blipFill>
                  <pic:spPr>
                    <a:xfrm>
                      <a:off x="0" y="0"/>
                      <a:ext cx="878205" cy="547370"/>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2319" w:firstLineChars="110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2020 </w:t>
      </w:r>
      <w:r>
        <w:rPr>
          <w:rFonts w:hint="eastAsia"/>
          <w:b/>
          <w:color w:val="000000" w:themeColor="text1"/>
        </w:rPr>
        <w:t>年</w:t>
      </w:r>
      <w:r>
        <w:rPr>
          <w:rFonts w:hint="eastAsia"/>
          <w:b/>
          <w:color w:val="000000" w:themeColor="text1"/>
          <w:lang w:val="en-US" w:eastAsia="zh-CN"/>
        </w:rPr>
        <w:t xml:space="preserve"> 4</w:t>
      </w:r>
      <w:r>
        <w:rPr>
          <w:rFonts w:hint="eastAsia"/>
          <w:b/>
          <w:color w:val="000000" w:themeColor="text1"/>
        </w:rPr>
        <w:t xml:space="preserve"> 月</w:t>
      </w:r>
      <w:r>
        <w:rPr>
          <w:rFonts w:hint="eastAsia"/>
          <w:b/>
          <w:color w:val="000000" w:themeColor="text1"/>
          <w:lang w:val="en-US" w:eastAsia="zh-CN"/>
        </w:rPr>
        <w:t xml:space="preserve">3 </w:t>
      </w:r>
      <w:r>
        <w:rPr>
          <w:rFonts w:hint="eastAsia"/>
          <w:b/>
          <w:color w:val="000000" w:themeColor="text1"/>
        </w:rPr>
        <w:t>日</w:t>
      </w:r>
      <w:r>
        <w:rPr>
          <w:rFonts w:hint="eastAsia"/>
          <w:b/>
          <w:color w:val="000000" w:themeColor="text1"/>
          <w:lang w:val="en-US" w:eastAsia="zh-CN"/>
        </w:rPr>
        <w:t>/</w:t>
      </w:r>
      <w:r>
        <w:rPr>
          <w:rFonts w:hint="eastAsia"/>
          <w:b/>
          <w:color w:val="FF0000"/>
          <w:lang w:val="en-US" w:eastAsia="zh-CN"/>
        </w:rPr>
        <w:t xml:space="preserve">2020 </w:t>
      </w:r>
      <w:r>
        <w:rPr>
          <w:rFonts w:hint="eastAsia"/>
          <w:b/>
          <w:color w:val="FF0000"/>
        </w:rPr>
        <w:t>年</w:t>
      </w:r>
      <w:r>
        <w:rPr>
          <w:rFonts w:hint="eastAsia"/>
          <w:b/>
          <w:color w:val="FF0000"/>
          <w:lang w:val="en-US" w:eastAsia="zh-CN"/>
        </w:rPr>
        <w:t xml:space="preserve"> 12</w:t>
      </w:r>
      <w:r>
        <w:rPr>
          <w:rFonts w:hint="eastAsia"/>
          <w:b/>
          <w:color w:val="FF0000"/>
        </w:rPr>
        <w:t xml:space="preserve"> 月</w:t>
      </w:r>
      <w:r>
        <w:rPr>
          <w:rFonts w:hint="eastAsia"/>
          <w:b/>
          <w:color w:val="FF0000"/>
          <w:lang w:val="en-US" w:eastAsia="zh-CN"/>
        </w:rPr>
        <w:t xml:space="preserve">14 </w:t>
      </w:r>
      <w:r>
        <w:rPr>
          <w:rFonts w:hint="eastAsia"/>
          <w:b/>
          <w:color w:val="FF0000"/>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bCs/>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)个严重不符合，</w:t>
      </w:r>
      <w:r>
        <w:rPr>
          <w:rFonts w:hint="eastAsia"/>
          <w:b/>
          <w:bCs/>
          <w:color w:val="000000" w:themeColor="text1"/>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bCs/>
          <w:color w:val="000000" w:themeColor="text1"/>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napToGrid w:val="0"/>
        <w:spacing w:afterLines="50" w:line="360" w:lineRule="auto"/>
        <w:ind w:firstLine="522" w:firstLineChars="200"/>
        <w:rPr>
          <w:rFonts w:hint="eastAsia"/>
          <w:b/>
          <w:color w:val="000000" w:themeColor="text1"/>
          <w:szCs w:val="21"/>
        </w:rPr>
      </w:pPr>
      <w:r>
        <w:rPr>
          <w:b/>
          <w:color w:val="000000" w:themeColor="text1"/>
          <w:sz w:val="26"/>
          <w:szCs w:val="26"/>
        </w:rPr>
        <w:drawing>
          <wp:anchor distT="0" distB="0" distL="0" distR="0" simplePos="0" relativeHeight="251868160" behindDoc="0" locked="0" layoutInCell="1" allowOverlap="1">
            <wp:simplePos x="0" y="0"/>
            <wp:positionH relativeFrom="column">
              <wp:posOffset>946785</wp:posOffset>
            </wp:positionH>
            <wp:positionV relativeFrom="paragraph">
              <wp:posOffset>218440</wp:posOffset>
            </wp:positionV>
            <wp:extent cx="732790" cy="456565"/>
            <wp:effectExtent l="0" t="0" r="13970" b="635"/>
            <wp:wrapSquare wrapText="bothSides"/>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732790" cy="456565"/>
                    </a:xfrm>
                    <a:prstGeom prst="rect">
                      <a:avLst/>
                    </a:prstGeom>
                    <a:noFill/>
                    <a:ln w="9525">
                      <a:noFill/>
                      <a:miter lim="800000"/>
                      <a:headEnd/>
                      <a:tailEnd/>
                    </a:ln>
                  </pic:spPr>
                </pic:pic>
              </a:graphicData>
            </a:graphic>
          </wp:anchor>
        </w:drawing>
      </w:r>
    </w:p>
    <w:p>
      <w:pPr>
        <w:snapToGrid w:val="0"/>
        <w:spacing w:afterLines="50" w:line="360" w:lineRule="auto"/>
        <w:ind w:firstLine="422" w:firstLineChars="200"/>
        <w:rPr>
          <w:b/>
          <w:color w:val="000000" w:themeColor="text1"/>
          <w:sz w:val="16"/>
          <w:szCs w:val="16"/>
        </w:rPr>
      </w:pPr>
      <w:r>
        <w:rPr>
          <w:rFonts w:hint="eastAsia"/>
          <w:b/>
          <w:color w:val="000000" w:themeColor="text1"/>
          <w:szCs w:val="21"/>
        </w:rPr>
        <w:t xml:space="preserve">组长签字:                       </w:t>
      </w:r>
      <w:r>
        <w:rPr>
          <w:rFonts w:hint="eastAsia"/>
          <w:b/>
          <w:color w:val="000000" w:themeColor="text1"/>
        </w:rPr>
        <w:t>日期：</w:t>
      </w:r>
      <w:r>
        <w:rPr>
          <w:rFonts w:hint="eastAsia"/>
          <w:b/>
          <w:color w:val="000000" w:themeColor="text1"/>
          <w:lang w:val="en-US" w:eastAsia="zh-CN"/>
        </w:rPr>
        <w:t>20</w:t>
      </w:r>
      <w:r>
        <w:rPr>
          <w:rFonts w:hint="eastAsia"/>
          <w:b/>
          <w:color w:val="000000" w:themeColor="text1"/>
          <w:highlight w:val="none"/>
          <w:lang w:val="en-US" w:eastAsia="zh-CN"/>
        </w:rPr>
        <w:t>20</w:t>
      </w:r>
      <w:r>
        <w:rPr>
          <w:rFonts w:hint="eastAsia"/>
          <w:b/>
          <w:color w:val="000000" w:themeColor="text1"/>
          <w:highlight w:val="none"/>
        </w:rPr>
        <w:t xml:space="preserve"> </w:t>
      </w:r>
      <w:r>
        <w:rPr>
          <w:rFonts w:hint="eastAsia" w:asciiTheme="minorEastAsia" w:hAnsiTheme="minorEastAsia" w:eastAsiaTheme="minorEastAsia"/>
          <w:b/>
          <w:color w:val="000000" w:themeColor="text1"/>
          <w:highlight w:val="none"/>
        </w:rPr>
        <w:t xml:space="preserve">年 </w:t>
      </w:r>
      <w:r>
        <w:rPr>
          <w:rFonts w:hint="eastAsia" w:asciiTheme="minorEastAsia" w:hAnsiTheme="minorEastAsia" w:eastAsiaTheme="minorEastAsia"/>
          <w:b/>
          <w:color w:val="000000" w:themeColor="text1"/>
          <w:highlight w:val="none"/>
          <w:lang w:val="en-US" w:eastAsia="zh-CN"/>
        </w:rPr>
        <w:t>4</w:t>
      </w:r>
      <w:r>
        <w:rPr>
          <w:rFonts w:hint="eastAsia" w:asciiTheme="minorEastAsia" w:hAnsiTheme="minorEastAsia" w:eastAsiaTheme="minorEastAsia"/>
          <w:b/>
          <w:color w:val="000000" w:themeColor="text1"/>
          <w:highlight w:val="none"/>
        </w:rPr>
        <w:t xml:space="preserve"> 月 </w:t>
      </w:r>
      <w:r>
        <w:rPr>
          <w:rFonts w:hint="eastAsia" w:asciiTheme="minorEastAsia" w:hAnsiTheme="minorEastAsia" w:eastAsiaTheme="minorEastAsia"/>
          <w:b/>
          <w:color w:val="000000" w:themeColor="text1"/>
          <w:highlight w:val="none"/>
          <w:lang w:val="en-US" w:eastAsia="zh-CN"/>
        </w:rPr>
        <w:t>8</w:t>
      </w:r>
      <w:r>
        <w:rPr>
          <w:rFonts w:hint="eastAsia" w:asciiTheme="minorEastAsia" w:hAnsiTheme="minorEastAsia" w:eastAsiaTheme="minorEastAsia"/>
          <w:b/>
          <w:color w:val="000000" w:themeColor="text1"/>
          <w:highlight w:val="none"/>
        </w:rPr>
        <w:t>日</w:t>
      </w:r>
    </w:p>
    <w:p>
      <w:pPr>
        <w:spacing w:beforeLines="100" w:afterLines="50"/>
        <w:rPr>
          <w:b/>
          <w:color w:val="000000" w:themeColor="text1"/>
          <w:szCs w:val="21"/>
        </w:rPr>
      </w:pP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 xml:space="preserve">认证评定负责人：            日期：      年 </w:t>
      </w:r>
      <w:r>
        <w:rPr>
          <w:rFonts w:hint="eastAsia"/>
          <w:b/>
          <w:color w:val="000000" w:themeColor="text1"/>
          <w:lang w:val="en-US" w:eastAsia="zh-CN"/>
        </w:rPr>
        <w:t xml:space="preserve"> </w:t>
      </w:r>
      <w:r>
        <w:rPr>
          <w:rFonts w:hint="eastAsia"/>
          <w:b/>
          <w:color w:val="000000" w:themeColor="text1"/>
        </w:rPr>
        <w:t xml:space="preserve"> 月  </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 xml:space="preserve">批准人（总经理）：          日期：       年 </w:t>
      </w:r>
      <w:r>
        <w:rPr>
          <w:rFonts w:hint="eastAsia"/>
          <w:b/>
          <w:color w:val="000000" w:themeColor="text1"/>
          <w:lang w:val="en-US" w:eastAsia="zh-CN"/>
        </w:rPr>
        <w:t xml:space="preserve"> </w:t>
      </w:r>
      <w:r>
        <w:rPr>
          <w:rFonts w:hint="eastAsia"/>
          <w:b/>
          <w:color w:val="000000" w:themeColor="text1"/>
        </w:rPr>
        <w:t xml:space="preserve"> 月 </w:t>
      </w:r>
      <w:r>
        <w:rPr>
          <w:rFonts w:hint="eastAsia"/>
          <w:b/>
          <w:color w:val="000000" w:themeColor="text1"/>
          <w:lang w:val="en-US" w:eastAsia="zh-CN"/>
        </w:rPr>
        <w:t xml:space="preserve"> </w:t>
      </w:r>
      <w:r>
        <w:rPr>
          <w:rFonts w:hint="eastAsia"/>
          <w:b/>
          <w:color w:val="000000" w:themeColor="text1"/>
        </w:rPr>
        <w:t xml:space="preserve">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8D4DEC"/>
    <w:rsid w:val="424D3A1D"/>
    <w:rsid w:val="43FA5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2020-12-11T08:03:08Z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