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9"/>
        <w:gridCol w:w="121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重庆科创水处理设备有限公司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36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Q：18.05.07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80" w:lineRule="exact"/>
              <w:jc w:val="both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sz w:val="21"/>
                <w:szCs w:val="21"/>
              </w:rPr>
              <w:t>二次供水设备、污水处理设备、一体化泵站</w:t>
            </w:r>
            <w:r>
              <w:rPr>
                <w:rFonts w:hint="eastAsia"/>
                <w:sz w:val="21"/>
                <w:szCs w:val="21"/>
              </w:rPr>
              <w:t>生产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流程为：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业务洽谈—合同签订—采购配件—装配、调试—检验—入库。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关键过程：组装、调试，控制措施有作业文件和装配图。主要质量要求：组装产品型号规格、和装配位置，调试控制参数。造成风险：产品性能不满足标准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固废排放、潜在火，采取管理方案和应急管理方案控制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重大危险源：</w:t>
            </w:r>
            <w:r>
              <w:rPr>
                <w:rFonts w:hint="eastAsia"/>
                <w:sz w:val="21"/>
                <w:szCs w:val="21"/>
              </w:rPr>
              <w:t>火灾、触电、机械伤害，采取管理方案和应急管理方案控制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污水提升装置技术条件CJ/T380-2011,小型生活污水处理成套设备CJ/T355-2010，无负压管网增压稳流给水设备GB/T26003-2010等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检验项目：流量、扬程、处理率等，有型式试验要求。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4191635</wp:posOffset>
            </wp:positionH>
            <wp:positionV relativeFrom="paragraph">
              <wp:posOffset>119380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106045</wp:posOffset>
            </wp:positionV>
            <wp:extent cx="757555" cy="419735"/>
            <wp:effectExtent l="0" t="0" r="4445" b="6985"/>
            <wp:wrapNone/>
            <wp:docPr id="4" name="图片 4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1"/>
          <w:szCs w:val="21"/>
        </w:rPr>
        <w:t>2020.</w:t>
      </w:r>
      <w:r>
        <w:rPr>
          <w:rFonts w:hint="eastAsia"/>
          <w:b/>
          <w:sz w:val="21"/>
          <w:szCs w:val="21"/>
          <w:lang w:val="en-US" w:eastAsia="zh-CN"/>
        </w:rPr>
        <w:t>12.7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2020.</w:t>
      </w:r>
      <w:r>
        <w:rPr>
          <w:rFonts w:hint="eastAsia"/>
          <w:b/>
          <w:sz w:val="21"/>
          <w:szCs w:val="21"/>
          <w:lang w:val="en-US" w:eastAsia="zh-CN"/>
        </w:rPr>
        <w:t>12.7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785E8A"/>
    <w:rsid w:val="74EA1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2020-12-07T04:53:53Z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