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0043-2020-QEO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重庆兴晟海物流有限公司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Q:31.04.01</w:t>
            </w:r>
          </w:p>
          <w:p>
            <w:pPr>
              <w:spacing w:line="240" w:lineRule="exact"/>
              <w:jc w:val="center"/>
              <w:rPr>
                <w:b/>
                <w:color w:val="000000" w:themeColor="text1"/>
                <w:sz w:val="20"/>
                <w:szCs w:val="20"/>
              </w:rPr>
            </w:pPr>
            <w:r>
              <w:rPr>
                <w:b/>
                <w:color w:val="000000" w:themeColor="text1"/>
                <w:sz w:val="20"/>
                <w:szCs w:val="20"/>
              </w:rPr>
              <w:t>E:31.04.01</w:t>
            </w:r>
          </w:p>
          <w:p>
            <w:pPr>
              <w:spacing w:line="240" w:lineRule="exact"/>
              <w:jc w:val="center"/>
              <w:rPr>
                <w:b/>
                <w:color w:val="000000" w:themeColor="text1"/>
                <w:sz w:val="20"/>
                <w:szCs w:val="20"/>
              </w:rPr>
            </w:pPr>
            <w:r>
              <w:rPr>
                <w:b/>
                <w:color w:val="000000" w:themeColor="text1"/>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Q:31.04.01</w:t>
            </w:r>
          </w:p>
          <w:p>
            <w:pPr>
              <w:spacing w:line="240" w:lineRule="exact"/>
              <w:jc w:val="center"/>
              <w:rPr>
                <w:b/>
                <w:color w:val="000000" w:themeColor="text1"/>
                <w:sz w:val="20"/>
                <w:szCs w:val="20"/>
              </w:rPr>
            </w:pPr>
            <w:r>
              <w:rPr>
                <w:b/>
                <w:color w:val="000000" w:themeColor="text1"/>
                <w:sz w:val="20"/>
                <w:szCs w:val="20"/>
              </w:rPr>
              <w:t>E:31.04.01</w:t>
            </w:r>
          </w:p>
          <w:p>
            <w:pPr>
              <w:spacing w:line="240" w:lineRule="exact"/>
              <w:jc w:val="center"/>
              <w:rPr>
                <w:b/>
                <w:color w:val="000000" w:themeColor="text1"/>
                <w:sz w:val="20"/>
                <w:szCs w:val="20"/>
              </w:rPr>
            </w:pPr>
            <w:r>
              <w:rPr>
                <w:b/>
                <w:color w:val="000000" w:themeColor="text1"/>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Q:31.04.01</w:t>
            </w:r>
          </w:p>
          <w:p>
            <w:pPr>
              <w:spacing w:line="240" w:lineRule="exact"/>
              <w:jc w:val="center"/>
              <w:rPr>
                <w:b/>
                <w:color w:val="FF0000"/>
                <w:sz w:val="20"/>
                <w:szCs w:val="20"/>
              </w:rPr>
            </w:pPr>
            <w:r>
              <w:rPr>
                <w:b/>
                <w:color w:val="FF0000"/>
                <w:sz w:val="20"/>
                <w:szCs w:val="20"/>
              </w:rPr>
              <w:t>E:31.04.01</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宋明珠</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陈伟</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24001-2016/ISO14001:2015,O：ISO 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重庆兴晟海物流有限公司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重庆市璧山区璧泉街道观音村</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重庆市璧山区璧泉街道观音村铝山路20号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杨显宁</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17685822953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王连友</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杨显宁</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Q：许可范围内的普通货运</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E：许可范围内的普通货运及其场所所涉及的相关环境管理活动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O：许可范围内的普通货运及其场所所涉及的相关职业健康安全管理活动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Q：31.04.01</w:t>
            </w:r>
          </w:p>
          <w:p>
            <w:pPr>
              <w:spacing w:line="320" w:lineRule="exact"/>
              <w:rPr>
                <w:rFonts w:ascii="宋体" w:hAnsi="宋体"/>
                <w:b/>
                <w:color w:val="000000" w:themeColor="text1"/>
                <w:sz w:val="20"/>
                <w:szCs w:val="20"/>
              </w:rPr>
            </w:pPr>
            <w:r>
              <w:rPr>
                <w:rFonts w:ascii="宋体" w:hAnsi="宋体"/>
                <w:b/>
                <w:color w:val="000000" w:themeColor="text1"/>
                <w:sz w:val="20"/>
                <w:szCs w:val="20"/>
              </w:rPr>
              <w:t>E：31.04.01</w:t>
            </w:r>
          </w:p>
          <w:p>
            <w:pPr>
              <w:spacing w:line="320" w:lineRule="exact"/>
              <w:rPr>
                <w:rFonts w:ascii="宋体" w:hAnsi="宋体"/>
                <w:b/>
                <w:color w:val="000000" w:themeColor="text1"/>
                <w:sz w:val="20"/>
                <w:szCs w:val="20"/>
              </w:rPr>
            </w:pPr>
            <w:r>
              <w:rPr>
                <w:rFonts w:ascii="宋体" w:hAnsi="宋体"/>
                <w:b/>
                <w:color w:val="000000" w:themeColor="text1"/>
                <w:sz w:val="20"/>
                <w:szCs w:val="20"/>
              </w:rPr>
              <w:t>O：31.04.01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2019-02-10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运输部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监视和测量设备管理；不合格品控制；纠正和预防措施控制；策划管理；过程监控管理；产品验收管理；设备设施管理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财务部</w:t>
            </w:r>
          </w:p>
        </w:tc>
        <w:tc>
          <w:tcPr>
            <w:tcW w:w="6804" w:type="dxa"/>
            <w:vAlign w:val="top"/>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方针、目标管理；人员、部门职能职责和权限；风险识别评价管理；环境因素识别评价管理。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val="en-US"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许可范围内的普通货运</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《中华人民共和国道路交通安全法》、《中华人民共和国道路交通安全法实施条例》、《中华人民共和国道路运输条例》、《汽车租赁服务规范》</w:t>
            </w:r>
            <w:r>
              <w:rPr>
                <w:rFonts w:hint="eastAsia" w:ascii="宋体" w:hAnsi="宋体" w:cs="宋体"/>
                <w:sz w:val="21"/>
                <w:szCs w:val="21"/>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FF0000"/>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10</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u w:val="single"/>
          <w:lang w:val="en-US" w:eastAsia="zh-CN"/>
        </w:rPr>
        <w:t>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lang w:val="en-US" w:eastAsia="zh-CN"/>
        </w:rPr>
        <w:t>21</w:t>
      </w:r>
      <w:r>
        <w:rPr>
          <w:rFonts w:hint="eastAsia"/>
          <w:b/>
          <w:color w:val="000000" w:themeColor="text1"/>
          <w:spacing w:val="-10"/>
          <w:szCs w:val="21"/>
        </w:rPr>
        <w:t>日。</w:t>
      </w:r>
      <w:r>
        <w:rPr>
          <w:rFonts w:hint="eastAsia"/>
          <w:b/>
          <w:color w:val="FF0000"/>
          <w:spacing w:val="-10"/>
          <w:szCs w:val="21"/>
          <w:lang w:eastAsia="zh-CN"/>
        </w:rPr>
        <w:t>（现场补充审核复盖时间</w:t>
      </w:r>
      <w:r>
        <w:rPr>
          <w:rFonts w:hint="eastAsia"/>
          <w:b/>
          <w:color w:val="FF0000"/>
          <w:spacing w:val="-10"/>
          <w:szCs w:val="21"/>
          <w:lang w:val="en-US" w:eastAsia="zh-CN"/>
        </w:rPr>
        <w:t>2020年3月21日至2020年12月5日）</w:t>
      </w:r>
      <w:r>
        <w:rPr>
          <w:rFonts w:hint="eastAsia"/>
          <w:b/>
          <w:color w:val="FF0000"/>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Theme="minorEastAsia" w:hAnsiTheme="minorEastAsia" w:eastAsiaTheme="minorEastAsia" w:cstheme="minorEastAsia"/>
                <w:b w:val="0"/>
                <w:bCs w:val="0"/>
                <w:sz w:val="21"/>
                <w:szCs w:val="21"/>
              </w:rPr>
            </w:pPr>
            <w:r>
              <w:rPr>
                <w:rFonts w:hint="eastAsia" w:ascii="宋体" w:hAnsi="宋体"/>
                <w:szCs w:val="21"/>
              </w:rPr>
              <w:t>质量方针：</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pacing w:val="-20"/>
                <w:sz w:val="21"/>
                <w:szCs w:val="21"/>
              </w:rPr>
              <w:t>专业为先，质量为本</w:t>
            </w:r>
            <w:r>
              <w:rPr>
                <w:rFonts w:hint="eastAsia" w:asciiTheme="minorEastAsia" w:hAnsiTheme="minorEastAsia" w:eastAsiaTheme="minorEastAsia" w:cstheme="minorEastAsia"/>
                <w:b w:val="0"/>
                <w:bCs w:val="0"/>
                <w:spacing w:val="-20"/>
                <w:sz w:val="21"/>
                <w:szCs w:val="21"/>
                <w:lang w:eastAsia="zh-CN"/>
              </w:rPr>
              <w:t>，</w:t>
            </w:r>
            <w:r>
              <w:rPr>
                <w:rFonts w:hint="eastAsia" w:asciiTheme="minorEastAsia" w:hAnsiTheme="minorEastAsia" w:eastAsiaTheme="minorEastAsia" w:cstheme="minorEastAsia"/>
                <w:b w:val="0"/>
                <w:bCs w:val="0"/>
                <w:spacing w:val="-20"/>
                <w:sz w:val="21"/>
                <w:szCs w:val="21"/>
              </w:rPr>
              <w:t>守法诚信，服务至上</w:t>
            </w:r>
            <w:r>
              <w:rPr>
                <w:rFonts w:hint="eastAsia" w:asciiTheme="minorEastAsia" w:hAnsiTheme="minorEastAsia" w:eastAsiaTheme="minorEastAsia" w:cstheme="minorEastAsia"/>
                <w:b w:val="0"/>
                <w:bCs w:val="0"/>
                <w:sz w:val="21"/>
                <w:szCs w:val="21"/>
              </w:rPr>
              <w:t>”。</w:t>
            </w:r>
          </w:p>
          <w:p>
            <w:pPr>
              <w:rPr>
                <w:rFonts w:ascii="宋体" w:hAnsi="宋体" w:cs="宋体"/>
                <w:b/>
                <w:szCs w:val="21"/>
              </w:rPr>
            </w:pPr>
            <w:r>
              <w:rPr>
                <w:rFonts w:hint="eastAsia" w:ascii="宋体" w:hAnsi="宋体"/>
                <w:szCs w:val="21"/>
              </w:rPr>
              <w:t>环境</w:t>
            </w:r>
            <w:r>
              <w:rPr>
                <w:rFonts w:hint="eastAsia" w:ascii="宋体" w:hAnsi="宋体"/>
                <w:szCs w:val="21"/>
                <w:lang w:eastAsia="zh-CN"/>
              </w:rPr>
              <w:t>、职业健康</w:t>
            </w:r>
            <w:r>
              <w:rPr>
                <w:rFonts w:hint="eastAsia" w:ascii="宋体" w:hAnsi="宋体"/>
                <w:szCs w:val="21"/>
                <w:lang w:val="en-US" w:eastAsia="zh-CN"/>
              </w:rPr>
              <w:t>安全</w:t>
            </w:r>
            <w:r>
              <w:rPr>
                <w:rFonts w:hint="eastAsia" w:ascii="宋体" w:hAnsi="宋体"/>
                <w:szCs w:val="21"/>
              </w:rPr>
              <w:t>方针：“</w:t>
            </w:r>
            <w:r>
              <w:rPr>
                <w:rFonts w:hint="eastAsia" w:ascii="宋体" w:hAnsi="宋体" w:cs="宋体"/>
              </w:rPr>
              <w:t>预防为主，</w:t>
            </w:r>
            <w:r>
              <w:rPr>
                <w:rFonts w:hint="eastAsia" w:ascii="宋体" w:hAnsi="宋体" w:cs="宋体"/>
                <w:lang w:eastAsia="zh-CN"/>
              </w:rPr>
              <w:t>强化监督</w:t>
            </w:r>
            <w:r>
              <w:rPr>
                <w:rFonts w:hint="eastAsia" w:ascii="宋体" w:hAnsi="宋体" w:cs="宋体"/>
              </w:rPr>
              <w:t>，以</w:t>
            </w:r>
            <w:r>
              <w:rPr>
                <w:rFonts w:hint="eastAsia" w:ascii="宋体" w:hAnsi="宋体" w:cs="宋体"/>
                <w:lang w:eastAsia="zh-CN"/>
              </w:rPr>
              <w:t>人为本</w:t>
            </w:r>
            <w:r>
              <w:rPr>
                <w:rFonts w:hint="eastAsia" w:ascii="宋体" w:hAnsi="宋体" w:cs="宋体"/>
              </w:rPr>
              <w:t>，</w:t>
            </w:r>
            <w:r>
              <w:rPr>
                <w:rFonts w:hint="eastAsia" w:ascii="宋体" w:hAnsi="宋体" w:cs="宋体"/>
                <w:lang w:eastAsia="zh-CN"/>
              </w:rPr>
              <w:t>降耗减排，科学管理</w:t>
            </w:r>
            <w:r>
              <w:rPr>
                <w:rFonts w:hint="eastAsia" w:ascii="宋体" w:hAnsi="宋体" w:cs="宋体"/>
                <w:szCs w:val="21"/>
              </w:rPr>
              <w:t>”。</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质量管理体系过程有：合同评审、过程监控管理；产品验收管理；监视和测量设备管理；。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运输服务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adjustRightInd w:val="0"/>
              <w:spacing w:line="300" w:lineRule="auto"/>
              <w:textAlignment w:val="baseline"/>
              <w:rPr>
                <w:rFonts w:hint="eastAsia" w:ascii="宋体" w:hAnsi="宋体" w:eastAsia="宋体"/>
                <w:sz w:val="21"/>
                <w:szCs w:val="21"/>
                <w:lang w:eastAsia="zh-CN"/>
              </w:rPr>
            </w:pPr>
            <w:r>
              <w:rPr>
                <w:b/>
                <w:color w:val="000000" w:themeColor="text1"/>
                <w:sz w:val="20"/>
                <w:szCs w:val="20"/>
              </w:rPr>
              <w:pict>
                <v:shape id="_x0000_s2050" o:spid="_x0000_s2050"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w:t>
            </w:r>
            <w:r>
              <w:rPr>
                <w:rFonts w:hint="eastAsia" w:ascii="宋体" w:hAnsi="宋体"/>
                <w:b/>
                <w:color w:val="000000" w:themeColor="text1"/>
                <w:sz w:val="20"/>
                <w:szCs w:val="20"/>
                <w:highlight w:val="none"/>
              </w:rPr>
              <w:t xml:space="preserve">  ，不适用理由：</w:t>
            </w:r>
            <w:r>
              <w:rPr>
                <w:rFonts w:hint="eastAsia" w:ascii="宋体" w:hAnsi="宋体"/>
                <w:sz w:val="21"/>
                <w:szCs w:val="21"/>
                <w:highlight w:val="none"/>
              </w:rPr>
              <w:t>公司</w:t>
            </w:r>
            <w:r>
              <w:rPr>
                <w:rFonts w:hint="eastAsia" w:ascii="宋体" w:cs="宋体"/>
                <w:sz w:val="21"/>
                <w:szCs w:val="21"/>
                <w:highlight w:val="none"/>
              </w:rPr>
              <w:t>许可范围内的普通货物运输服务按相应国标和行业标准以</w:t>
            </w:r>
            <w:r>
              <w:rPr>
                <w:rFonts w:hint="eastAsia" w:ascii="宋体" w:cs="宋体"/>
                <w:sz w:val="21"/>
                <w:szCs w:val="21"/>
                <w:highlight w:val="none"/>
                <w:u w:val="single"/>
              </w:rPr>
              <w:t>及客户协议执行，暂</w:t>
            </w:r>
            <w:r>
              <w:rPr>
                <w:rFonts w:hint="eastAsia" w:ascii="宋体" w:hAnsi="宋体"/>
                <w:sz w:val="21"/>
                <w:szCs w:val="21"/>
                <w:highlight w:val="none"/>
                <w:u w:val="single"/>
              </w:rPr>
              <w:t>不涉及设计与开发</w:t>
            </w:r>
            <w:r>
              <w:rPr>
                <w:rFonts w:hint="eastAsia" w:ascii="宋体" w:hAnsi="宋体" w:cs="宋体"/>
                <w:bCs/>
                <w:sz w:val="21"/>
                <w:szCs w:val="21"/>
                <w:u w:val="single"/>
              </w:rPr>
              <w:t xml:space="preserve"> </w:t>
            </w:r>
            <w:r>
              <w:rPr>
                <w:rFonts w:hint="eastAsia" w:ascii="宋体" w:hAnsi="宋体" w:cs="宋体"/>
                <w:bCs/>
                <w:sz w:val="21"/>
                <w:szCs w:val="21"/>
                <w:lang w:eastAsia="zh-CN"/>
              </w:rPr>
              <w:t>。</w:t>
            </w:r>
            <w:r>
              <w:rPr>
                <w:rFonts w:hint="eastAsia" w:ascii="宋体" w:hAnsi="宋体" w:cs="宋体"/>
                <w:bCs/>
                <w:sz w:val="21"/>
                <w:szCs w:val="21"/>
              </w:rPr>
              <w:t xml:space="preserve">  </w:t>
            </w:r>
          </w:p>
          <w:p>
            <w:pPr>
              <w:tabs>
                <w:tab w:val="left" w:pos="540"/>
              </w:tabs>
              <w:spacing w:line="300" w:lineRule="exact"/>
              <w:ind w:left="20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eastAsia="zh-CN"/>
              </w:rPr>
              <w:t>仓储、运输</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ascii="宋体" w:hAnsi="宋体" w:cs="宋体"/>
                <w:szCs w:val="21"/>
              </w:rPr>
            </w:pPr>
            <w:r>
              <w:rPr>
                <w:rFonts w:hint="eastAsia" w:ascii="宋体" w:hAnsi="宋体" w:cs="宋体"/>
                <w:szCs w:val="21"/>
              </w:rPr>
              <w:t xml:space="preserve">公司质量环境安全目标为：       </w:t>
            </w:r>
            <w:r>
              <w:rPr>
                <w:rFonts w:hint="eastAsia" w:ascii="宋体" w:hAnsi="宋体" w:cs="宋体"/>
                <w:szCs w:val="21"/>
                <w:lang w:eastAsia="zh-CN"/>
              </w:rPr>
              <w:t>考核</w:t>
            </w:r>
            <w:r>
              <w:rPr>
                <w:rFonts w:hint="eastAsia" w:ascii="宋体" w:hAnsi="宋体" w:cs="宋体"/>
                <w:szCs w:val="21"/>
              </w:rPr>
              <w:t>情况（2019年</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月-20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p>
          <w:p>
            <w:pPr>
              <w:spacing w:line="360" w:lineRule="auto"/>
              <w:rPr>
                <w:rFonts w:ascii="宋体" w:hAnsi="宋体" w:cs="宋体"/>
                <w:b/>
                <w:highlight w:val="none"/>
              </w:rPr>
            </w:pPr>
            <w:r>
              <w:rPr>
                <w:rFonts w:hint="eastAsia" w:ascii="宋体" w:hAnsi="宋体" w:cs="宋体"/>
                <w:szCs w:val="21"/>
                <w:highlight w:val="none"/>
              </w:rPr>
              <w:t>1）</w:t>
            </w:r>
            <w:r>
              <w:rPr>
                <w:rFonts w:hint="eastAsia" w:ascii="宋体" w:hAnsi="宋体" w:cs="宋体"/>
                <w:szCs w:val="22"/>
                <w:highlight w:val="none"/>
              </w:rPr>
              <w:t>顾客投诉≤3次/年</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0</w:t>
            </w:r>
            <w:r>
              <w:rPr>
                <w:rFonts w:ascii="宋体" w:hAnsi="宋体" w:cs="宋体"/>
                <w:b/>
                <w:highlight w:val="none"/>
              </w:rPr>
              <w:t xml:space="preserve">  </w:t>
            </w:r>
          </w:p>
          <w:p>
            <w:pPr>
              <w:spacing w:line="360" w:lineRule="auto"/>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2"/>
                <w:highlight w:val="none"/>
              </w:rPr>
              <w:t>运输服务合格率100﹪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100</w:t>
            </w:r>
            <w:r>
              <w:rPr>
                <w:rFonts w:hint="eastAsia" w:ascii="宋体" w:hAnsi="宋体" w:cs="宋体"/>
                <w:szCs w:val="21"/>
                <w:highlight w:val="none"/>
              </w:rPr>
              <w:t>%</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3）</w:t>
            </w:r>
            <w:r>
              <w:rPr>
                <w:rFonts w:hint="eastAsia" w:ascii="宋体" w:hAnsi="宋体" w:cs="宋体"/>
                <w:szCs w:val="22"/>
                <w:highlight w:val="none"/>
              </w:rPr>
              <w:t>满意率调查得分95分以上</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99分</w:t>
            </w:r>
          </w:p>
          <w:p>
            <w:pPr>
              <w:spacing w:line="360" w:lineRule="auto"/>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eastAsia="zh-CN"/>
              </w:rPr>
              <w:t>废弃物的回收率达到100%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100%</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2"/>
                <w:highlight w:val="none"/>
                <w:lang w:val="en-US" w:eastAsia="zh-CN"/>
              </w:rPr>
              <w:t>安全服务事故次数为0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 xml:space="preserve"> 0</w:t>
            </w:r>
          </w:p>
          <w:p>
            <w:pPr>
              <w:pStyle w:val="2"/>
              <w:rPr>
                <w:rFonts w:hint="eastAsia" w:ascii="宋体" w:hAnsi="宋体" w:eastAsia="宋体" w:cs="宋体"/>
                <w:szCs w:val="22"/>
                <w:highlight w:val="none"/>
                <w:lang w:val="en-US" w:eastAsia="zh-CN"/>
              </w:rPr>
            </w:pPr>
            <w:r>
              <w:rPr>
                <w:rFonts w:hint="eastAsia" w:ascii="宋体" w:hAnsi="宋体" w:cs="宋体"/>
                <w:szCs w:val="21"/>
                <w:highlight w:val="none"/>
                <w:lang w:val="en-US" w:eastAsia="zh-CN"/>
              </w:rPr>
              <w:t>6）</w:t>
            </w:r>
            <w:r>
              <w:rPr>
                <w:rFonts w:hint="eastAsia" w:ascii="宋体" w:hAnsi="宋体" w:cs="宋体"/>
                <w:szCs w:val="22"/>
                <w:highlight w:val="none"/>
                <w:lang w:val="en-US" w:eastAsia="zh-CN"/>
              </w:rPr>
              <w:t>火灾事故发生次数为0</w:t>
            </w:r>
            <w:r>
              <w:rPr>
                <w:rFonts w:hint="eastAsia" w:ascii="宋体" w:hAnsi="宋体" w:cs="宋体"/>
                <w:szCs w:val="22"/>
                <w:highlight w:val="none"/>
                <w:lang w:eastAsia="zh-CN"/>
              </w:rPr>
              <w:t>；</w:t>
            </w:r>
            <w:r>
              <w:rPr>
                <w:rFonts w:hint="eastAsia" w:ascii="宋体" w:hAnsi="宋体" w:cs="宋体"/>
                <w:szCs w:val="22"/>
                <w:highlight w:val="none"/>
                <w:lang w:val="en-US" w:eastAsia="zh-CN"/>
              </w:rPr>
              <w:t xml:space="preserve">             </w:t>
            </w:r>
            <w:r>
              <w:rPr>
                <w:rFonts w:hint="eastAsia" w:ascii="宋体" w:hAnsi="宋体" w:cs="宋体"/>
                <w:szCs w:val="21"/>
                <w:highlight w:val="none"/>
                <w:lang w:val="en-US" w:eastAsia="zh-CN"/>
              </w:rPr>
              <w:t>0</w:t>
            </w:r>
          </w:p>
          <w:p>
            <w:pPr>
              <w:pStyle w:val="2"/>
              <w:rPr>
                <w:rFonts w:ascii="宋体" w:hAnsi="宋体"/>
                <w:b/>
                <w:color w:val="000000" w:themeColor="text1"/>
              </w:rPr>
            </w:pPr>
            <w:r>
              <w:rPr>
                <w:rFonts w:hint="eastAsia" w:ascii="宋体" w:hAnsi="宋体" w:cs="宋体"/>
                <w:szCs w:val="22"/>
                <w:highlight w:val="none"/>
                <w:lang w:val="en-US" w:eastAsia="zh-CN"/>
              </w:rPr>
              <w:t>7）交通事故年度不超过3起</w:t>
            </w:r>
            <w:r>
              <w:rPr>
                <w:rFonts w:hint="eastAsia" w:ascii="宋体" w:hAnsi="宋体" w:cs="宋体"/>
                <w:szCs w:val="22"/>
                <w:highlight w:val="none"/>
                <w:lang w:eastAsia="zh-CN"/>
              </w:rPr>
              <w:t>；</w:t>
            </w:r>
            <w:r>
              <w:rPr>
                <w:rFonts w:hint="eastAsia" w:ascii="宋体" w:hAnsi="宋体" w:cs="宋体"/>
                <w:szCs w:val="22"/>
                <w:highlight w:val="none"/>
                <w:lang w:val="en-US" w:eastAsia="zh-CN"/>
              </w:rPr>
              <w:t xml:space="preserve">           </w:t>
            </w:r>
            <w:r>
              <w:rPr>
                <w:rFonts w:hint="eastAsia" w:ascii="宋体" w:hAnsi="宋体" w:cs="宋体"/>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月1</w:t>
            </w:r>
            <w:r>
              <w:rPr>
                <w:rFonts w:hint="eastAsia" w:ascii="宋体" w:hAnsi="宋体" w:cs="宋体"/>
                <w:color w:val="000000" w:themeColor="text1"/>
                <w:lang w:val="en-US" w:eastAsia="zh-CN"/>
              </w:rPr>
              <w:t>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rPr>
              <w:t>办</w:t>
            </w:r>
            <w:r>
              <w:rPr>
                <w:rFonts w:hint="eastAsia" w:ascii="宋体" w:hAnsi="宋体"/>
                <w:szCs w:val="21"/>
                <w:highlight w:val="none"/>
              </w:rPr>
              <w:t>公场所面积</w:t>
            </w:r>
            <w:r>
              <w:rPr>
                <w:rFonts w:hint="eastAsia" w:ascii="宋体" w:hAnsi="宋体"/>
                <w:szCs w:val="21"/>
                <w:highlight w:val="none"/>
                <w:lang w:val="en-US" w:eastAsia="zh-CN"/>
              </w:rPr>
              <w:t>2</w:t>
            </w:r>
            <w:r>
              <w:rPr>
                <w:rFonts w:hint="eastAsia" w:ascii="宋体" w:hAnsi="宋体"/>
                <w:szCs w:val="21"/>
                <w:highlight w:val="none"/>
              </w:rPr>
              <w:t>00平方左右，</w:t>
            </w:r>
            <w:r>
              <w:rPr>
                <w:rFonts w:hint="eastAsia" w:ascii="宋体" w:hAnsi="宋体"/>
                <w:szCs w:val="21"/>
                <w:highlight w:val="none"/>
                <w:lang w:val="en-US" w:eastAsia="zh-CN"/>
              </w:rPr>
              <w:t>仓储</w:t>
            </w:r>
            <w:r>
              <w:rPr>
                <w:rFonts w:hint="eastAsia" w:ascii="宋体" w:hAnsi="宋体"/>
                <w:szCs w:val="21"/>
                <w:highlight w:val="none"/>
              </w:rPr>
              <w:t>面积</w:t>
            </w:r>
            <w:r>
              <w:rPr>
                <w:rFonts w:hint="eastAsia" w:ascii="宋体" w:hAnsi="宋体"/>
                <w:szCs w:val="21"/>
                <w:highlight w:val="none"/>
                <w:lang w:val="en-US" w:eastAsia="zh-CN"/>
              </w:rPr>
              <w:t>800</w:t>
            </w:r>
            <w:r>
              <w:rPr>
                <w:rFonts w:hint="eastAsia" w:ascii="宋体" w:hAnsi="宋体"/>
                <w:szCs w:val="21"/>
                <w:highlight w:val="none"/>
              </w:rPr>
              <w:t>平方。</w:t>
            </w:r>
            <w:r>
              <w:rPr>
                <w:rFonts w:hint="eastAsia" w:ascii="宋体" w:hAnsi="宋体" w:cs="宋体"/>
                <w:szCs w:val="21"/>
              </w:rPr>
              <w:t>主要生产设备包括</w:t>
            </w:r>
            <w:r>
              <w:rPr>
                <w:rFonts w:hint="eastAsia" w:ascii="宋体" w:hAnsi="宋体"/>
                <w:szCs w:val="21"/>
                <w:lang w:eastAsia="zh-CN"/>
              </w:rPr>
              <w:t>电脑及办公设备、</w:t>
            </w:r>
            <w:r>
              <w:rPr>
                <w:rFonts w:hint="eastAsia" w:ascii="宋体" w:hAnsi="宋体"/>
                <w:szCs w:val="21"/>
              </w:rPr>
              <w:t>卫星定位系统</w:t>
            </w:r>
            <w:r>
              <w:rPr>
                <w:rFonts w:hint="eastAsia" w:ascii="宋体" w:hAnsi="宋体"/>
                <w:szCs w:val="21"/>
                <w:lang w:eastAsia="zh-CN"/>
              </w:rPr>
              <w:t>（北斗</w:t>
            </w:r>
            <w:r>
              <w:rPr>
                <w:rFonts w:hint="eastAsia" w:ascii="宋体" w:hAnsi="宋体"/>
                <w:szCs w:val="21"/>
                <w:lang w:val="en-US" w:eastAsia="zh-CN"/>
              </w:rPr>
              <w:t>/</w:t>
            </w:r>
            <w:r>
              <w:rPr>
                <w:rFonts w:hint="eastAsia" w:ascii="宋体" w:hAnsi="宋体"/>
                <w:szCs w:val="21"/>
                <w:lang w:eastAsia="zh-CN"/>
              </w:rPr>
              <w:t>GPS）、</w:t>
            </w:r>
            <w:r>
              <w:rPr>
                <w:rFonts w:hint="eastAsia" w:ascii="宋体" w:hAnsi="宋体" w:cs="宋体"/>
                <w:kern w:val="0"/>
                <w:szCs w:val="21"/>
                <w:lang w:eastAsia="zh-CN"/>
              </w:rPr>
              <w:t>重型厢式汽车、手动叉车</w:t>
            </w:r>
            <w:r>
              <w:rPr>
                <w:rFonts w:hint="eastAsia" w:ascii="宋体" w:hAnsi="宋体" w:cs="宋体"/>
                <w:szCs w:val="21"/>
              </w:rPr>
              <w:t>等</w:t>
            </w:r>
            <w:r>
              <w:rPr>
                <w:rFonts w:hint="eastAsia" w:ascii="宋体" w:hAnsi="宋体"/>
                <w:szCs w:val="21"/>
              </w:rPr>
              <w:t>，可以满足许可范围内的普通货运</w:t>
            </w:r>
            <w:r>
              <w:rPr>
                <w:rFonts w:hint="eastAsia" w:ascii="宋体" w:hAnsi="宋体"/>
                <w:szCs w:val="21"/>
                <w:lang w:eastAsia="zh-CN"/>
              </w:rPr>
              <w:t>服务的</w:t>
            </w:r>
            <w:r>
              <w:rPr>
                <w:rFonts w:hint="eastAsia" w:ascii="宋体" w:hAnsi="宋体" w:cs="宋体"/>
                <w:szCs w:val="21"/>
              </w:rPr>
              <w:t>需</w:t>
            </w:r>
            <w:r>
              <w:rPr>
                <w:rFonts w:hint="eastAsia" w:ascii="宋体" w:hAnsi="宋体"/>
                <w:szCs w:val="21"/>
              </w:rPr>
              <w:t>要</w:t>
            </w:r>
            <w:r>
              <w:rPr>
                <w:rFonts w:hint="eastAsia" w:ascii="宋体" w:hAnsi="宋体" w:cs="宋体"/>
                <w:szCs w:val="21"/>
              </w:rPr>
              <w:t>。对设备按月方式进行维护保养，并实施。特种设备：无。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维修服务</w:t>
            </w:r>
            <w:r>
              <w:rPr>
                <w:rFonts w:hint="eastAsia" w:ascii="宋体" w:hAnsi="宋体" w:cs="宋体"/>
                <w:szCs w:val="21"/>
              </w:rPr>
              <w:t>场所和内设备布置合理，通道畅通，照明设施齐全，均配备了消防设施等设施。办公室明亮，培训场所光线较充足。每月由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b/>
                <w:color w:val="000000" w:themeColor="text1"/>
                <w:sz w:val="20"/>
                <w:szCs w:val="20"/>
              </w:rPr>
            </w:pPr>
            <w:r>
              <w:rPr>
                <w:rFonts w:hint="eastAsia" w:ascii="宋体" w:hAnsi="宋体"/>
                <w:szCs w:val="21"/>
              </w:rPr>
              <w:t>卫星定位系统</w:t>
            </w:r>
            <w:r>
              <w:rPr>
                <w:rFonts w:hint="eastAsia" w:ascii="宋体" w:hAnsi="宋体"/>
                <w:szCs w:val="21"/>
                <w:lang w:eastAsia="zh-CN"/>
              </w:rPr>
              <w:t>（北斗</w:t>
            </w:r>
            <w:r>
              <w:rPr>
                <w:rFonts w:hint="eastAsia" w:ascii="宋体" w:hAnsi="宋体"/>
                <w:szCs w:val="21"/>
                <w:lang w:val="en-US" w:eastAsia="zh-CN"/>
              </w:rPr>
              <w:t>/GPS）</w:t>
            </w:r>
            <w:r>
              <w:rPr>
                <w:rFonts w:hint="eastAsia" w:ascii="宋体" w:hAnsi="宋体"/>
                <w:szCs w:val="21"/>
              </w:rPr>
              <w:t>，由</w:t>
            </w:r>
            <w:r>
              <w:rPr>
                <w:rFonts w:hint="eastAsia" w:ascii="宋体" w:hAnsi="宋体" w:cs="宋体"/>
                <w:szCs w:val="21"/>
                <w:highlight w:val="none"/>
                <w:lang w:eastAsia="zh-CN"/>
              </w:rPr>
              <w:t>重庆市</w:t>
            </w:r>
            <w:r>
              <w:rPr>
                <w:rFonts w:hint="eastAsia" w:ascii="宋体" w:hAnsi="宋体" w:cs="宋体"/>
                <w:szCs w:val="21"/>
                <w:highlight w:val="none"/>
              </w:rPr>
              <w:t>北</w:t>
            </w:r>
            <w:r>
              <w:rPr>
                <w:rFonts w:hint="eastAsia" w:ascii="宋体" w:hAnsi="宋体" w:cs="宋体"/>
                <w:szCs w:val="21"/>
                <w:highlight w:val="none"/>
                <w:lang w:eastAsia="zh-CN"/>
              </w:rPr>
              <w:t>导</w:t>
            </w:r>
            <w:r>
              <w:rPr>
                <w:rFonts w:hint="eastAsia" w:ascii="宋体" w:hAnsi="宋体" w:cs="宋体"/>
                <w:szCs w:val="21"/>
                <w:highlight w:val="none"/>
              </w:rPr>
              <w:t>科技</w:t>
            </w:r>
            <w:r>
              <w:rPr>
                <w:rFonts w:hint="eastAsia" w:ascii="宋体" w:hAnsi="宋体" w:cs="宋体"/>
                <w:szCs w:val="21"/>
                <w:highlight w:val="none"/>
                <w:lang w:eastAsia="zh-CN"/>
              </w:rPr>
              <w:t>发展</w:t>
            </w:r>
            <w:r>
              <w:rPr>
                <w:rFonts w:hint="eastAsia" w:ascii="宋体" w:hAnsi="宋体" w:cs="宋体"/>
                <w:szCs w:val="21"/>
                <w:highlight w:val="none"/>
              </w:rPr>
              <w:t>有限公司</w:t>
            </w:r>
            <w:r>
              <w:rPr>
                <w:rFonts w:hint="eastAsia" w:ascii="宋体" w:hAnsi="宋体"/>
                <w:szCs w:val="21"/>
              </w:rPr>
              <w:t>安装确认和维护</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lang w:eastAsia="zh-CN"/>
              </w:rPr>
              <w:t>潜在</w:t>
            </w:r>
            <w:r>
              <w:rPr>
                <w:rFonts w:hint="eastAsia" w:ascii="宋体" w:hAnsi="宋体" w:cs="宋体"/>
                <w:szCs w:val="21"/>
              </w:rPr>
              <w:t>火灾</w:t>
            </w:r>
            <w:r>
              <w:rPr>
                <w:rFonts w:hint="eastAsia" w:ascii="宋体" w:hAnsi="宋体" w:cs="宋体"/>
                <w:szCs w:val="21"/>
                <w:lang w:eastAsia="zh-CN"/>
              </w:rPr>
              <w:t>、固废</w:t>
            </w:r>
            <w:r>
              <w:rPr>
                <w:rFonts w:hint="eastAsia" w:ascii="宋体" w:hAnsi="宋体" w:cs="宋体"/>
                <w:szCs w:val="21"/>
              </w:rPr>
              <w:t>排放</w:t>
            </w:r>
            <w:r>
              <w:rPr>
                <w:rFonts w:hint="eastAsia" w:ascii="宋体" w:hAnsi="宋体" w:cs="宋体"/>
                <w:szCs w:val="21"/>
                <w:lang w:eastAsia="zh-CN"/>
              </w:rPr>
              <w:t>、</w:t>
            </w:r>
            <w:r>
              <w:rPr>
                <w:rFonts w:hint="eastAsia" w:ascii="宋体" w:hAnsi="宋体" w:cs="宋体"/>
                <w:szCs w:val="21"/>
              </w:rPr>
              <w:t>废气排放</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pStyle w:val="2"/>
              <w:rPr>
                <w:b/>
                <w:color w:val="000000" w:themeColor="text1"/>
                <w:sz w:val="20"/>
                <w:szCs w:val="20"/>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Theme="minorEastAsia" w:hAnsiTheme="minorEastAsia" w:eastAsiaTheme="minorEastAsia"/>
                <w:bCs/>
                <w:iCs/>
                <w:lang w:eastAsia="zh-CN"/>
              </w:rPr>
              <w:t>（</w:t>
            </w:r>
            <w:r>
              <w:rPr>
                <w:rFonts w:hint="eastAsia"/>
                <w:szCs w:val="21"/>
              </w:rPr>
              <w:t>火灾</w:t>
            </w:r>
            <w:r>
              <w:rPr>
                <w:rFonts w:hint="eastAsia"/>
                <w:szCs w:val="21"/>
                <w:lang w:eastAsia="zh-CN"/>
              </w:rPr>
              <w:t>、触电、</w:t>
            </w:r>
            <w:r>
              <w:rPr>
                <w:rFonts w:hint="eastAsia"/>
                <w:szCs w:val="21"/>
              </w:rPr>
              <w:t>交通</w:t>
            </w:r>
            <w:r>
              <w:rPr>
                <w:rFonts w:hint="eastAsia"/>
                <w:szCs w:val="21"/>
                <w:lang w:eastAsia="zh-CN"/>
              </w:rPr>
              <w:t>伤害、职业病</w:t>
            </w:r>
            <w:r>
              <w:rPr>
                <w:rFonts w:hint="eastAsia" w:asciiTheme="minorEastAsia" w:hAnsiTheme="minorEastAsia" w:eastAsiaTheme="minorEastAsia"/>
                <w:bCs/>
                <w:iCs/>
                <w:lang w:val="en-US" w:eastAsia="zh-CN"/>
              </w:rPr>
              <w:t>）</w:t>
            </w:r>
            <w:r>
              <w:rPr>
                <w:rFonts w:hint="eastAsia" w:asciiTheme="minorEastAsia" w:hAnsiTheme="minorEastAsia" w:eastAsiaTheme="minorEastAsia"/>
                <w:bCs/>
                <w:iCs/>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2019年</w:t>
            </w:r>
            <w:r>
              <w:rPr>
                <w:rFonts w:hint="eastAsia" w:ascii="宋体" w:hAnsi="宋体" w:cs="宋体"/>
                <w:szCs w:val="21"/>
                <w:highlight w:val="none"/>
                <w:lang w:val="en-US" w:eastAsia="zh-CN"/>
              </w:rPr>
              <w:t>10月</w:t>
            </w:r>
            <w:r>
              <w:rPr>
                <w:rFonts w:hint="eastAsia" w:ascii="宋体" w:hAnsi="宋体" w:cs="宋体"/>
                <w:szCs w:val="21"/>
                <w:highlight w:val="none"/>
              </w:rPr>
              <w:t>-</w:t>
            </w:r>
            <w:r>
              <w:rPr>
                <w:rFonts w:hint="eastAsia" w:ascii="宋体" w:hAnsi="宋体" w:cs="宋体"/>
                <w:szCs w:val="21"/>
                <w:highlight w:val="none"/>
                <w:lang w:val="en-US" w:eastAsia="zh-CN"/>
              </w:rPr>
              <w:t>2020年2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12</w:t>
            </w:r>
            <w:r>
              <w:rPr>
                <w:rFonts w:hint="eastAsia" w:ascii="宋体" w:hAnsi="宋体" w:cs="宋体"/>
                <w:szCs w:val="21"/>
                <w:highlight w:val="none"/>
              </w:rPr>
              <w:t>月实施，满意度评价9</w:t>
            </w:r>
            <w:r>
              <w:rPr>
                <w:rFonts w:hint="eastAsia" w:ascii="宋体" w:hAnsi="宋体" w:cs="宋体"/>
                <w:szCs w:val="21"/>
                <w:highlight w:val="none"/>
                <w:lang w:val="en-US" w:eastAsia="zh-CN"/>
              </w:rPr>
              <w:t>9</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w:t>
            </w:r>
            <w:r>
              <w:rPr>
                <w:rFonts w:hint="eastAsia" w:ascii="宋体" w:hAnsi="宋体" w:cs="宋体"/>
                <w:szCs w:val="21"/>
              </w:rPr>
              <w:t>涉及</w:t>
            </w:r>
            <w:r>
              <w:rPr>
                <w:rFonts w:hint="eastAsia" w:ascii="宋体" w:hAnsi="宋体" w:cs="宋体"/>
                <w:szCs w:val="21"/>
                <w:lang w:eastAsia="zh-CN"/>
              </w:rPr>
              <w:t>市场部</w:t>
            </w:r>
            <w:r>
              <w:rPr>
                <w:rFonts w:hint="eastAsia" w:ascii="宋体" w:hAnsi="宋体" w:cs="宋体"/>
                <w:szCs w:val="21"/>
              </w:rPr>
              <w:t>Q</w:t>
            </w:r>
            <w:r>
              <w:rPr>
                <w:rFonts w:hint="eastAsia" w:ascii="宋体" w:hAnsi="宋体" w:cs="宋体"/>
                <w:szCs w:val="21"/>
                <w:lang w:val="en-US" w:eastAsia="zh-CN"/>
              </w:rPr>
              <w:t>9.1.2</w:t>
            </w:r>
            <w:r>
              <w:rPr>
                <w:rFonts w:hint="eastAsia" w:ascii="宋体" w:hAnsi="宋体"/>
                <w:szCs w:val="21"/>
              </w:rPr>
              <w:t>条款未进行顾客满意度调查的统计分析，针对该不符合项，已及时采取纠正措施后，经内审员验证关闭。内审的有效性需要改善。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default" w:eastAsia="宋体"/>
                <w:b/>
                <w:sz w:val="20"/>
                <w:szCs w:val="20"/>
                <w:lang w:val="en-US" w:eastAsia="zh-CN"/>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869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1项，观察项0项，分</w:t>
      </w:r>
      <w:r>
        <w:rPr>
          <w:rFonts w:hint="eastAsia"/>
          <w:b/>
          <w:color w:val="000000" w:themeColor="text1"/>
          <w:highlight w:val="none"/>
        </w:rPr>
        <w:t>布在</w:t>
      </w:r>
      <w:r>
        <w:rPr>
          <w:rFonts w:hint="eastAsia"/>
          <w:b/>
          <w:color w:val="000000" w:themeColor="text1"/>
          <w:highlight w:val="none"/>
          <w:lang w:eastAsia="zh-CN"/>
        </w:rPr>
        <w:t>运输</w:t>
      </w:r>
      <w:r>
        <w:rPr>
          <w:rFonts w:hint="eastAsia"/>
          <w:b/>
          <w:color w:val="000000" w:themeColor="text1"/>
          <w:highlight w:val="none"/>
        </w:rPr>
        <w:t>部条款</w:t>
      </w:r>
      <w:r>
        <w:rPr>
          <w:rFonts w:hint="eastAsia"/>
          <w:b/>
          <w:color w:val="000000" w:themeColor="text1"/>
          <w:highlight w:val="none"/>
          <w:lang w:val="en-US" w:eastAsia="zh-CN"/>
        </w:rPr>
        <w:t>E/S8.2</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Times New Roman" w:hAnsi="Times New Roman" w:cs="Times New Roman"/>
                <w:b/>
                <w:color w:val="000000" w:themeColor="text1"/>
                <w:lang w:eastAsia="zh-CN"/>
              </w:rPr>
            </w:pPr>
            <w:r>
              <w:rPr>
                <w:rFonts w:hint="eastAsia" w:ascii="Times New Roman" w:hAnsi="Times New Roman" w:cs="Times New Roman"/>
                <w:b/>
                <w:color w:val="000000" w:themeColor="text1"/>
              </w:rPr>
              <w:t>Q</w:t>
            </w:r>
            <w:r>
              <w:rPr>
                <w:rFonts w:hint="eastAsia" w:ascii="Times New Roman" w:hAnsi="Times New Roman" w:cs="Times New Roman"/>
                <w:b/>
                <w:color w:val="000000" w:themeColor="text1"/>
                <w:lang w:val="en-US" w:eastAsia="zh-CN"/>
              </w:rPr>
              <w:t>MS</w:t>
            </w:r>
            <w:r>
              <w:rPr>
                <w:rFonts w:hint="eastAsia" w:ascii="Times New Roman" w:hAnsi="Times New Roman" w:cs="Times New Roman"/>
                <w:b/>
                <w:color w:val="000000" w:themeColor="text1"/>
              </w:rPr>
              <w:t>：许可范围内的普通货运</w:t>
            </w:r>
            <w:r>
              <w:rPr>
                <w:rFonts w:hint="eastAsia" w:ascii="Times New Roman" w:hAnsi="Times New Roman" w:cs="Times New Roman"/>
                <w:b/>
                <w:color w:val="000000" w:themeColor="text1"/>
                <w:lang w:eastAsia="zh-CN"/>
              </w:rPr>
              <w:t>。</w:t>
            </w:r>
          </w:p>
          <w:p>
            <w:pPr>
              <w:rPr>
                <w:rFonts w:hint="eastAsia" w:ascii="Times New Roman" w:hAnsi="Times New Roman" w:cs="Times New Roman"/>
                <w:b/>
                <w:color w:val="000000" w:themeColor="text1"/>
                <w:lang w:eastAsia="zh-CN"/>
              </w:rPr>
            </w:pPr>
            <w:r>
              <w:rPr>
                <w:rFonts w:hint="eastAsia" w:ascii="Times New Roman" w:hAnsi="Times New Roman" w:cs="Times New Roman"/>
                <w:b/>
                <w:color w:val="000000" w:themeColor="text1"/>
              </w:rPr>
              <w:t>E</w:t>
            </w:r>
            <w:r>
              <w:rPr>
                <w:rFonts w:hint="eastAsia" w:ascii="Times New Roman" w:hAnsi="Times New Roman" w:cs="Times New Roman"/>
                <w:b/>
                <w:color w:val="000000" w:themeColor="text1"/>
                <w:lang w:val="en-US" w:eastAsia="zh-CN"/>
              </w:rPr>
              <w:t>MS</w:t>
            </w:r>
            <w:r>
              <w:rPr>
                <w:rFonts w:hint="eastAsia" w:ascii="Times New Roman" w:hAnsi="Times New Roman" w:cs="Times New Roman"/>
                <w:b/>
                <w:color w:val="000000" w:themeColor="text1"/>
              </w:rPr>
              <w:t>：许可范围内的普通货运及其场所所涉及的相关环境管理活动</w:t>
            </w:r>
            <w:r>
              <w:rPr>
                <w:rFonts w:hint="eastAsia" w:ascii="Times New Roman" w:hAnsi="Times New Roman" w:cs="Times New Roman"/>
                <w:b/>
                <w:color w:val="000000" w:themeColor="text1"/>
                <w:lang w:eastAsia="zh-CN"/>
              </w:rPr>
              <w:t>。</w:t>
            </w:r>
          </w:p>
          <w:p>
            <w:pPr>
              <w:rPr>
                <w:b/>
                <w:color w:val="000000" w:themeColor="text1"/>
                <w:spacing w:val="-10"/>
                <w:sz w:val="22"/>
                <w:szCs w:val="22"/>
              </w:rPr>
            </w:pPr>
            <w:r>
              <w:rPr>
                <w:rFonts w:hint="eastAsia" w:ascii="Times New Roman" w:hAnsi="Times New Roman" w:cs="Times New Roman"/>
                <w:b/>
                <w:color w:val="000000" w:themeColor="text1"/>
              </w:rPr>
              <w:t>O</w:t>
            </w:r>
            <w:r>
              <w:rPr>
                <w:rFonts w:hint="eastAsia" w:ascii="Times New Roman" w:hAnsi="Times New Roman" w:cs="Times New Roman"/>
                <w:b/>
                <w:color w:val="000000" w:themeColor="text1"/>
                <w:lang w:val="en-US" w:eastAsia="zh-CN"/>
              </w:rPr>
              <w:t>HSMS</w:t>
            </w:r>
            <w:r>
              <w:rPr>
                <w:rFonts w:hint="eastAsia" w:ascii="Times New Roman" w:hAnsi="Times New Roman" w:cs="Times New Roman"/>
                <w:b/>
                <w:color w:val="000000" w:themeColor="text1"/>
              </w:rPr>
              <w:t>：许可范围内的普通货运及其场所所涉及的相关职业健康安全管理活动。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color w:val="000000" w:themeColor="text1"/>
          <w:kern w:val="24"/>
          <w:sz w:val="28"/>
          <w:szCs w:val="28"/>
          <w:lang w:eastAsia="zh-CN"/>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62" w:leftChars="-405" w:hanging="912" w:hangingChars="326"/>
        <w:rPr>
          <w:rFonts w:hint="eastAsia" w:ascii="仿宋" w:hAnsi="仿宋" w:eastAsia="仿宋" w:cstheme="minorBidi"/>
          <w:color w:val="000000" w:themeColor="text1"/>
          <w:kern w:val="24"/>
          <w:sz w:val="28"/>
          <w:szCs w:val="28"/>
          <w:lang w:eastAsia="zh-CN"/>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718656" behindDoc="0" locked="0" layoutInCell="1" allowOverlap="1">
            <wp:simplePos x="0" y="0"/>
            <wp:positionH relativeFrom="column">
              <wp:posOffset>3128645</wp:posOffset>
            </wp:positionH>
            <wp:positionV relativeFrom="paragraph">
              <wp:posOffset>374650</wp:posOffset>
            </wp:positionV>
            <wp:extent cx="695960" cy="433705"/>
            <wp:effectExtent l="0" t="0" r="5080" b="8255"/>
            <wp:wrapNone/>
            <wp:docPr id="5"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20-01-09 10.59.53_副本.jpg"/>
                    <pic:cNvPicPr>
                      <a:picLocks noChangeAspect="1"/>
                    </pic:cNvPicPr>
                  </pic:nvPicPr>
                  <pic:blipFill>
                    <a:blip r:embed="rId6"/>
                    <a:stretch>
                      <a:fillRect/>
                    </a:stretch>
                  </pic:blipFill>
                  <pic:spPr>
                    <a:xfrm>
                      <a:off x="0" y="0"/>
                      <a:ext cx="695960" cy="433705"/>
                    </a:xfrm>
                    <a:prstGeom prst="rect">
                      <a:avLst/>
                    </a:prstGeom>
                    <a:noFill/>
                    <a:ln>
                      <a:noFill/>
                    </a:ln>
                  </pic:spPr>
                </pic:pic>
              </a:graphicData>
            </a:graphic>
          </wp:anchor>
        </w:drawing>
      </w:r>
      <w:r>
        <w:rPr>
          <w:rFonts w:ascii="宋体" w:hAnsi="宋体"/>
        </w:rPr>
        <w:drawing>
          <wp:anchor distT="0" distB="0" distL="114300" distR="114300" simplePos="0" relativeHeight="251687936" behindDoc="0" locked="0" layoutInCell="1" allowOverlap="1">
            <wp:simplePos x="0" y="0"/>
            <wp:positionH relativeFrom="column">
              <wp:posOffset>1531620</wp:posOffset>
            </wp:positionH>
            <wp:positionV relativeFrom="paragraph">
              <wp:posOffset>381000</wp:posOffset>
            </wp:positionV>
            <wp:extent cx="642620" cy="400685"/>
            <wp:effectExtent l="0" t="0" r="12700" b="10795"/>
            <wp:wrapNone/>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6"/>
                    <a:stretch>
                      <a:fillRect/>
                    </a:stretch>
                  </pic:blipFill>
                  <pic:spPr>
                    <a:xfrm>
                      <a:off x="0" y="0"/>
                      <a:ext cx="642620" cy="400685"/>
                    </a:xfrm>
                    <a:prstGeom prst="rect">
                      <a:avLst/>
                    </a:prstGeom>
                    <a:noFill/>
                    <a:ln>
                      <a:noFill/>
                    </a:ln>
                  </pic:spPr>
                </pic:pic>
              </a:graphicData>
            </a:graphic>
          </wp:anchor>
        </w:drawing>
      </w:r>
      <w:r>
        <w:rPr>
          <w:rFonts w:hint="eastAsia"/>
          <w:b/>
          <w:color w:val="000000" w:themeColor="text1"/>
          <w:sz w:val="26"/>
          <w:szCs w:val="26"/>
        </w:rPr>
        <w:t>十四、审核组签字</w:t>
      </w:r>
      <w:bookmarkStart w:id="23" w:name="_GoBack"/>
      <w:bookmarkEnd w:id="23"/>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739136" behindDoc="0" locked="0" layoutInCell="1" allowOverlap="1">
            <wp:simplePos x="0" y="0"/>
            <wp:positionH relativeFrom="column">
              <wp:posOffset>3053715</wp:posOffset>
            </wp:positionH>
            <wp:positionV relativeFrom="paragraph">
              <wp:posOffset>116840</wp:posOffset>
            </wp:positionV>
            <wp:extent cx="441960" cy="297180"/>
            <wp:effectExtent l="0" t="0" r="0" b="7620"/>
            <wp:wrapNone/>
            <wp:docPr id="7"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c6bc8d82232cd8bc6519fc4dcd21ee2"/>
                    <pic:cNvPicPr>
                      <a:picLocks noChangeAspect="1"/>
                    </pic:cNvPicPr>
                  </pic:nvPicPr>
                  <pic:blipFill>
                    <a:blip r:embed="rId7"/>
                    <a:stretch>
                      <a:fillRect/>
                    </a:stretch>
                  </pic:blipFill>
                  <pic:spPr>
                    <a:xfrm>
                      <a:off x="0" y="0"/>
                      <a:ext cx="441960" cy="29718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742208" behindDoc="0" locked="0" layoutInCell="1" allowOverlap="1">
            <wp:simplePos x="0" y="0"/>
            <wp:positionH relativeFrom="column">
              <wp:posOffset>3656965</wp:posOffset>
            </wp:positionH>
            <wp:positionV relativeFrom="paragraph">
              <wp:posOffset>81915</wp:posOffset>
            </wp:positionV>
            <wp:extent cx="812165" cy="275590"/>
            <wp:effectExtent l="0" t="0" r="10795" b="13970"/>
            <wp:wrapNone/>
            <wp:docPr id="8"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d65153f20abdb73c162b984abccbf35"/>
                    <pic:cNvPicPr>
                      <a:picLocks noChangeAspect="1"/>
                    </pic:cNvPicPr>
                  </pic:nvPicPr>
                  <pic:blipFill>
                    <a:blip r:embed="rId8"/>
                    <a:srcRect l="7648" t="9871" r="7156" b="20799"/>
                    <a:stretch>
                      <a:fillRect/>
                    </a:stretch>
                  </pic:blipFill>
                  <pic:spPr>
                    <a:xfrm>
                      <a:off x="0" y="0"/>
                      <a:ext cx="812165" cy="275590"/>
                    </a:xfrm>
                    <a:prstGeom prst="rect">
                      <a:avLst/>
                    </a:prstGeom>
                    <a:noFill/>
                    <a:ln>
                      <a:noFill/>
                    </a:ln>
                  </pic:spPr>
                </pic:pic>
              </a:graphicData>
            </a:graphic>
          </wp:anchor>
        </w:drawing>
      </w:r>
      <w:r>
        <w:rPr>
          <w:rFonts w:hint="eastAsia"/>
          <w:b/>
          <w:sz w:val="22"/>
          <w:szCs w:val="22"/>
        </w:rPr>
        <w:drawing>
          <wp:anchor distT="0" distB="0" distL="114300" distR="114300" simplePos="0" relativeHeight="251737088" behindDoc="0" locked="0" layoutInCell="1" allowOverlap="1">
            <wp:simplePos x="0" y="0"/>
            <wp:positionH relativeFrom="column">
              <wp:posOffset>1519555</wp:posOffset>
            </wp:positionH>
            <wp:positionV relativeFrom="paragraph">
              <wp:posOffset>118110</wp:posOffset>
            </wp:positionV>
            <wp:extent cx="410210" cy="424815"/>
            <wp:effectExtent l="0" t="0" r="1270" b="190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9" cstate="print"/>
                    <a:srcRect/>
                    <a:stretch>
                      <a:fillRect/>
                    </a:stretch>
                  </pic:blipFill>
                  <pic:spPr>
                    <a:xfrm>
                      <a:off x="0" y="0"/>
                      <a:ext cx="410210" cy="42481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 xml:space="preserve"> 3</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 xml:space="preserve"> 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5</w:t>
      </w:r>
      <w:r>
        <w:rPr>
          <w:rFonts w:hint="eastAsia" w:asciiTheme="minorEastAsia" w:hAnsiTheme="minorEastAsia" w:eastAsiaTheme="minorEastAsia"/>
          <w:b/>
          <w:color w:val="FF000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743232" behindDoc="0" locked="0" layoutInCell="1" allowOverlap="1">
            <wp:simplePos x="0" y="0"/>
            <wp:positionH relativeFrom="column">
              <wp:posOffset>819150</wp:posOffset>
            </wp:positionH>
            <wp:positionV relativeFrom="paragraph">
              <wp:posOffset>86995</wp:posOffset>
            </wp:positionV>
            <wp:extent cx="734060" cy="457200"/>
            <wp:effectExtent l="0" t="0" r="12700" b="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6"/>
                    <a:stretch>
                      <a:fillRect/>
                    </a:stretch>
                  </pic:blipFill>
                  <pic:spPr>
                    <a:xfrm>
                      <a:off x="0" y="0"/>
                      <a:ext cx="734060" cy="45720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 xml:space="preserve"> 3</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 xml:space="preserve">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964" w:hanging="1265" w:hangingChars="600"/>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8D0673"/>
    <w:rsid w:val="29D01861"/>
    <w:rsid w:val="5D146B30"/>
    <w:rsid w:val="60066EE6"/>
    <w:rsid w:val="61096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2020-12-04T06:46:45Z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