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85"/>
        <w:gridCol w:w="1068"/>
        <w:gridCol w:w="6"/>
        <w:gridCol w:w="567"/>
        <w:gridCol w:w="1242"/>
        <w:gridCol w:w="75"/>
        <w:gridCol w:w="101"/>
        <w:gridCol w:w="589"/>
        <w:gridCol w:w="261"/>
        <w:gridCol w:w="42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杭州邦凝环保科技有限公司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浙江省杭州市萧山区城厢街道湘湖路36-1号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王益枫</w:t>
            </w:r>
            <w:bookmarkEnd w:id="2"/>
          </w:p>
        </w:tc>
        <w:tc>
          <w:tcPr>
            <w:tcW w:w="10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13758259532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7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0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29947182@qq.com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7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0693-2020-QEO</w:t>
            </w:r>
            <w:bookmarkEnd w:id="8"/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O：再生资源销售所涉及场所的相关职业健康安全管理活动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E：再生资源销售所涉及场所的相关职业健康安全管理活动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Q：再生资源销售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O：GB/T45001-2020 / ISO45001：2018,E：GB/T 24001-2016/ISO14001:2015,Q：GB/T19001-2016/ISO9001:2015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2020年12月07日 下午至2020年12月09日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8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88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44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88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2020-12-06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2020-12-06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5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安全方针、5.3组织的岗位、职责和权限、6.1应对风险和机遇的措施、6.2质量/环境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/职业人人健康安全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目标及其实现的策划、Q6.3变更的策划、7.1.1（E7.1）资源总则、7.4沟通/信息交流、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9.3管理评审、10.1改进、10.3持续改进，</w:t>
            </w:r>
          </w:p>
          <w:p>
            <w:pPr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QEO: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Arial"/>
                <w:sz w:val="21"/>
                <w:szCs w:val="21"/>
              </w:rPr>
              <w:t>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7.1.4过程运行环境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8.6产品和产品的放行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8.7不合格输出的控制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EO:6.1.2环境因素/危险源辨识与评价、6.1.4措施的策划；8.1运行策划和控制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中午12:00~13:00午餐休息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综合部/财务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7.1.2人员、7.1.6组织知识、7.2能力、7.3意识、7.5.1形成文件的信息总则、7.5.2形成文件的信息的创建和更新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、7.5.3形成文件的信息的控制、8.5.6更改控制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7.1.5监视和测量资源、8.1运行策划和控制、8.3产品和服务的设计和开发不适用确认、8.4外部提供过程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8.2产品和服务的要求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9.1.2顾客满意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sz w:val="21"/>
                <w:szCs w:val="21"/>
              </w:rPr>
              <w:t>6.1.2环境因素辨识与评价、8.1运行策划和控制、8.2应急准备和响应，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</w:t>
            </w: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审核整理，准备审核报告；</w:t>
            </w: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0F14CF"/>
    <w:rsid w:val="1B585276"/>
    <w:rsid w:val="2A6705AE"/>
    <w:rsid w:val="33960291"/>
    <w:rsid w:val="415076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1971</Words>
  <Characters>2793</Characters>
  <Lines>8</Lines>
  <Paragraphs>2</Paragraphs>
  <TotalTime>0</TotalTime>
  <ScaleCrop>false</ScaleCrop>
  <LinksUpToDate>false</LinksUpToDate>
  <CharactersWithSpaces>2814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2020-12-11T04:03:22Z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