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 w:val="0"/>
          <w:bCs/>
          <w:sz w:val="22"/>
          <w:szCs w:val="22"/>
        </w:rPr>
      </w:pPr>
      <w:bookmarkStart w:id="0" w:name="勾选"/>
      <w:bookmarkStart w:id="1" w:name="Q勾选"/>
      <w:r>
        <w:rPr>
          <w:rFonts w:hint="eastAsia"/>
          <w:b w:val="0"/>
          <w:bCs/>
          <w:sz w:val="22"/>
          <w:szCs w:val="22"/>
        </w:rPr>
        <w:t>■</w:t>
      </w:r>
      <w:bookmarkEnd w:id="0"/>
      <w:bookmarkEnd w:id="1"/>
      <w:r>
        <w:rPr>
          <w:b w:val="0"/>
          <w:bCs/>
          <w:sz w:val="22"/>
          <w:szCs w:val="22"/>
        </w:rPr>
        <w:t xml:space="preserve">QMS  </w:t>
      </w:r>
      <w:bookmarkStart w:id="2" w:name="E勾选"/>
      <w:r>
        <w:rPr>
          <w:rFonts w:hint="eastAsia"/>
          <w:b w:val="0"/>
          <w:bCs/>
          <w:sz w:val="22"/>
          <w:szCs w:val="22"/>
        </w:rPr>
        <w:t>■</w:t>
      </w:r>
      <w:bookmarkEnd w:id="2"/>
      <w:r>
        <w:rPr>
          <w:b w:val="0"/>
          <w:bCs/>
          <w:sz w:val="22"/>
          <w:szCs w:val="22"/>
        </w:rPr>
        <w:t xml:space="preserve">EMS  </w:t>
      </w:r>
      <w:bookmarkStart w:id="3" w:name="S勾选"/>
      <w:r>
        <w:rPr>
          <w:rFonts w:hint="eastAsia"/>
          <w:b w:val="0"/>
          <w:bCs/>
          <w:sz w:val="22"/>
          <w:szCs w:val="22"/>
        </w:rPr>
        <w:t>■</w:t>
      </w:r>
      <w:bookmarkEnd w:id="3"/>
      <w:r>
        <w:rPr>
          <w:b w:val="0"/>
          <w:bCs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49"/>
        <w:gridCol w:w="1281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武汉鑫尖峰建筑材料有限公司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专业小类</w:t>
            </w:r>
            <w:r>
              <w:rPr>
                <w:b w:val="0"/>
                <w:bCs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 w:val="0"/>
                <w:bCs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潘荣君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Q:16.02.01</w:t>
            </w:r>
          </w:p>
          <w:p>
            <w:pPr>
              <w:spacing w:line="240" w:lineRule="exact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E:16.02.01</w:t>
            </w:r>
          </w:p>
          <w:p>
            <w:pPr>
              <w:snapToGrid w:val="0"/>
              <w:spacing w:line="280" w:lineRule="exact"/>
              <w:jc w:val="both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Cs w:val="21"/>
              </w:rPr>
              <w:t>O:16.02.01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姓名</w:t>
            </w:r>
          </w:p>
        </w:tc>
        <w:tc>
          <w:tcPr>
            <w:tcW w:w="12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李凤仪</w:t>
            </w:r>
          </w:p>
        </w:tc>
        <w:tc>
          <w:tcPr>
            <w:tcW w:w="12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周涛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专业代码</w:t>
            </w:r>
          </w:p>
        </w:tc>
        <w:tc>
          <w:tcPr>
            <w:tcW w:w="12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生产工艺</w:t>
            </w:r>
            <w:r>
              <w:rPr>
                <w:b w:val="0"/>
                <w:bCs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before="60" w:after="60" w:line="320" w:lineRule="atLeast"/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加气：原材料制备（球磨 磨浆）-配料（中控室自动）-搅拌（铝粉 石灰 水泥）-浇注（温度控制42-45度）-静养（根据胚体的软硬度进行识别2-3小时 温度：45度）-切割（数控切割机）-蒸养（0-260度）- 成品入库堆放。</w:t>
            </w:r>
          </w:p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生产过程</w:t>
            </w:r>
            <w:r>
              <w:rPr>
                <w:b w:val="0"/>
                <w:bCs/>
                <w:sz w:val="20"/>
              </w:rPr>
              <w:t>/</w:t>
            </w:r>
            <w:r>
              <w:rPr>
                <w:rFonts w:hint="eastAsia"/>
                <w:b w:val="0"/>
                <w:bCs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特殊过程的控制</w:t>
            </w:r>
            <w:r>
              <w:rPr>
                <w:b w:val="0"/>
                <w:bCs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pacing w:before="60" w:after="60" w:line="320" w:lineRule="atLeast"/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关键过程： 配料—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控制硅钙比例;   液压成型：控制几何尺寸 </w:t>
            </w:r>
          </w:p>
          <w:p>
            <w:pPr>
              <w:spacing w:before="60" w:after="60" w:line="320" w:lineRule="atLeast"/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需确认过程：蒸养—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控制硅钙比例在高温高压下充分发生化学反应。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制订了《环境因素识别与评价控制程序》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XJF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-CX-16，编制了《环境因素识别评价表》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JL-XJF-612-01/02/03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，编制了《重要环境因素清单》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J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L-XJF-612-05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，重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环境因素主要为：粉尘的排放，废气排放，噪声排放，固废排放，能源消耗，火灾爆炸等5项。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before="60" w:after="60" w:line="320" w:lineRule="atLeas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制订了《危险源辨识与评价控制程序》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XJF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-CX-17，编制了《危 险 源 辨 识 评 价 表》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JL-XJF-431-02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，编制了《不可接受风险及其控制措施清单》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JL-XJF-431-05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，不可接受风险主要为：机械伤害，火灾爆炸，职业病，物体打击，触电5项。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《蒸压加气混凝土砌块》GB11968-2006、《蒸压加气混凝土砌板》GB15762-2008、《蒸压砂加气混凝土精确砌块墙体自保温系统应用技术规程》DB42/T743-2016《水泥化学分析方法》GB/T176-2008《通用硅酸盐水泥》GB175-2007《硅酸盐建筑制品用砂》JC/T622-2009《硅酸盐建筑制品用生石灰》JC/T621-2009《加气混凝土用铝粉膏》JC/T407-2008、《工业企业厂界噪声标准》GB12348-2008、《工作场所有害因素职业接触限值 第2部分:物理因素》GBZ2.2-2007《中华人民共和国职业病防治法》主席令第52号《工作场所职业病危害警示标识》GBZ158－2003。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14"/>
                <w:szCs w:val="14"/>
              </w:rPr>
            </w:pPr>
            <w:r>
              <w:rPr>
                <w:rFonts w:hint="eastAsia"/>
                <w:b w:val="0"/>
                <w:bCs/>
                <w:sz w:val="20"/>
              </w:rPr>
              <w:t>检验和试验项目及要求</w:t>
            </w:r>
            <w:r>
              <w:rPr>
                <w:b w:val="0"/>
                <w:bCs/>
                <w:sz w:val="20"/>
              </w:rPr>
              <w:t>(</w:t>
            </w:r>
            <w:r>
              <w:rPr>
                <w:rFonts w:hint="eastAsia"/>
                <w:b w:val="0"/>
                <w:bCs/>
                <w:sz w:val="20"/>
              </w:rPr>
              <w:t>如有型式试验要求</w:t>
            </w:r>
            <w:r>
              <w:rPr>
                <w:b w:val="0"/>
                <w:bCs/>
                <w:sz w:val="20"/>
              </w:rPr>
              <w:t>,</w:t>
            </w:r>
            <w:r>
              <w:rPr>
                <w:rFonts w:hint="eastAsia"/>
                <w:b w:val="0"/>
                <w:bCs/>
                <w:sz w:val="20"/>
              </w:rPr>
              <w:t>要进行说明</w:t>
            </w:r>
            <w:r>
              <w:rPr>
                <w:b w:val="0"/>
                <w:bCs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《蒸压加气混凝土砌块》GB11968-2006、《蒸压加气混凝土砌板》GB15762-2008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16"/>
                <w:szCs w:val="16"/>
              </w:rPr>
            </w:pPr>
            <w:r>
              <w:rPr>
                <w:rFonts w:hint="eastAsia"/>
                <w:b w:val="0"/>
                <w:bCs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pacing w:line="600" w:lineRule="exact"/>
              <w:rPr>
                <w:rFonts w:hint="eastAsia" w:ascii="楷体_GB2312" w:hAnsi="楷体" w:eastAsia="楷体_GB2312"/>
                <w:b w:val="0"/>
                <w:bCs/>
                <w:color w:val="000000"/>
                <w:szCs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潘荣君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2020.12.5</w:t>
      </w:r>
      <w:r>
        <w:rPr>
          <w:rFonts w:hint="eastAsia"/>
          <w:b/>
          <w:sz w:val="18"/>
          <w:szCs w:val="18"/>
        </w:rPr>
        <w:t xml:space="preserve">         </w:t>
      </w:r>
      <w:bookmarkStart w:id="4" w:name="_GoBack"/>
      <w:bookmarkEnd w:id="4"/>
      <w:r>
        <w:rPr>
          <w:rFonts w:hint="eastAsia"/>
          <w:b/>
          <w:sz w:val="18"/>
          <w:szCs w:val="18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952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58240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BNoBTVAAAACAEAAA8AAAAAAAAAAQAgAAAAIgAAAGRycy9kb3ducmV2Lnht&#10;bFBLAQIUABQAAAAIAIdO4kDanPWpwwEAAHcDAAAOAAAAAAAAAAEAIAAAACQ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82A8E"/>
    <w:rsid w:val="3A6D00B7"/>
    <w:rsid w:val="3E9F79AE"/>
    <w:rsid w:val="4CF24B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2020-12-07T05:13:45Z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