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Q勾选15"/>
      <w:r>
        <w:rPr>
          <w:rFonts w:hint="eastAsia"/>
          <w:b/>
          <w:sz w:val="22"/>
          <w:szCs w:val="22"/>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 xml:space="preserve">0430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025"/>
        <w:gridCol w:w="1505"/>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5" w:type="dxa"/>
            <w:gridSpan w:val="4"/>
            <w:tcBorders>
              <w:top w:val="single" w:color="auto" w:sz="8" w:space="0"/>
            </w:tcBorders>
            <w:vAlign w:val="center"/>
          </w:tcPr>
          <w:p>
            <w:pPr>
              <w:snapToGrid w:val="0"/>
              <w:spacing w:line="280" w:lineRule="exact"/>
              <w:jc w:val="center"/>
              <w:rPr>
                <w:b/>
                <w:sz w:val="20"/>
              </w:rPr>
            </w:pPr>
            <w:bookmarkStart w:id="4" w:name="组织名称"/>
            <w:r>
              <w:rPr>
                <w:b/>
                <w:sz w:val="20"/>
              </w:rPr>
              <w:t>北京东方远创化工有限责任公司</w:t>
            </w:r>
            <w:bookmarkEnd w:id="4"/>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5" w:name="专业代码"/>
            <w:r>
              <w:rPr>
                <w:b/>
                <w:sz w:val="20"/>
              </w:rPr>
              <w:t>E：29.05.02</w:t>
            </w:r>
          </w:p>
          <w:p>
            <w:pPr>
              <w:snapToGrid w:val="0"/>
              <w:spacing w:line="280" w:lineRule="exact"/>
              <w:ind w:left="52"/>
              <w:jc w:val="center"/>
              <w:rPr>
                <w:b/>
                <w:sz w:val="20"/>
              </w:rPr>
            </w:pPr>
            <w:r>
              <w:rPr>
                <w:b/>
                <w:sz w:val="20"/>
              </w:rPr>
              <w:t>O：29.05.02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b/>
                <w:sz w:val="20"/>
              </w:rPr>
            </w:pPr>
            <w:r>
              <w:rPr>
                <w:sz w:val="20"/>
              </w:rPr>
              <w:t>李京田</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rPr>
                <w:rFonts w:hint="eastAsia"/>
                <w:b/>
                <w:szCs w:val="21"/>
              </w:rPr>
            </w:pPr>
            <w:r>
              <w:rPr>
                <w:rFonts w:hint="eastAsia"/>
                <w:b/>
                <w:szCs w:val="21"/>
              </w:rPr>
              <w:t>E：29.05.02</w:t>
            </w:r>
          </w:p>
          <w:p>
            <w:pPr>
              <w:snapToGrid w:val="0"/>
              <w:spacing w:line="280" w:lineRule="exact"/>
              <w:jc w:val="center"/>
              <w:rPr>
                <w:b/>
                <w:sz w:val="20"/>
              </w:rPr>
            </w:pPr>
            <w:r>
              <w:rPr>
                <w:rFonts w:hint="eastAsia"/>
                <w:b/>
                <w:szCs w:val="21"/>
              </w:rPr>
              <w:t>O：29.05.02</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025" w:type="dxa"/>
            <w:vAlign w:val="center"/>
          </w:tcPr>
          <w:p>
            <w:pPr>
              <w:snapToGrid w:val="0"/>
              <w:spacing w:line="360" w:lineRule="exact"/>
              <w:jc w:val="center"/>
              <w:rPr>
                <w:rFonts w:hint="default" w:eastAsia="宋体"/>
                <w:b/>
                <w:sz w:val="20"/>
                <w:lang w:val="en-US" w:eastAsia="zh-CN"/>
              </w:rPr>
            </w:pPr>
            <w:r>
              <w:rPr>
                <w:rFonts w:hint="eastAsia"/>
                <w:b/>
                <w:sz w:val="20"/>
                <w:lang w:val="en-US" w:eastAsia="zh-CN"/>
              </w:rPr>
              <w:t>李雅静</w:t>
            </w: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1025"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w:t>
            </w: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6"/>
            <w:vAlign w:val="center"/>
          </w:tcPr>
          <w:p>
            <w:pPr>
              <w:snapToGrid w:val="0"/>
              <w:spacing w:line="280" w:lineRule="exact"/>
              <w:jc w:val="left"/>
              <w:rPr>
                <w:rFonts w:hint="eastAsia"/>
                <w:b w:val="0"/>
                <w:bCs/>
                <w:sz w:val="20"/>
                <w:szCs w:val="22"/>
              </w:rPr>
            </w:pPr>
            <w:r>
              <w:rPr>
                <w:rFonts w:hint="eastAsia"/>
                <w:b w:val="0"/>
                <w:bCs/>
                <w:sz w:val="20"/>
                <w:szCs w:val="22"/>
              </w:rPr>
              <w:t>客户需求—面对面服务—签订合同—采购—发货--验收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p>
        </w:tc>
        <w:tc>
          <w:tcPr>
            <w:tcW w:w="8424" w:type="dxa"/>
            <w:gridSpan w:val="6"/>
            <w:vAlign w:val="center"/>
          </w:tcPr>
          <w:p>
            <w:pPr>
              <w:snapToGrid w:val="0"/>
              <w:spacing w:line="280" w:lineRule="exact"/>
              <w:jc w:val="left"/>
              <w:rPr>
                <w:rFonts w:hint="eastAsia"/>
                <w:b w:val="0"/>
                <w:bCs/>
                <w:sz w:val="20"/>
                <w:szCs w:val="22"/>
              </w:rPr>
            </w:pPr>
            <w:r>
              <w:rPr>
                <w:rFonts w:hint="eastAsia"/>
                <w:b w:val="0"/>
                <w:bCs/>
                <w:sz w:val="20"/>
                <w:szCs w:val="22"/>
              </w:rPr>
              <w:t>客户对服务质量标准提高，对危险化学品的安全要求提高；</w:t>
            </w:r>
          </w:p>
          <w:p>
            <w:pPr>
              <w:snapToGrid w:val="0"/>
              <w:spacing w:line="280" w:lineRule="exact"/>
              <w:jc w:val="left"/>
              <w:rPr>
                <w:rFonts w:hint="eastAsia"/>
                <w:b w:val="0"/>
                <w:bCs/>
                <w:sz w:val="20"/>
                <w:szCs w:val="22"/>
              </w:rPr>
            </w:pPr>
            <w:r>
              <w:rPr>
                <w:rFonts w:hint="eastAsia"/>
                <w:b w:val="0"/>
                <w:bCs/>
                <w:sz w:val="20"/>
                <w:szCs w:val="22"/>
              </w:rPr>
              <w:t>法律法规变化，不熟知最新的法规要求；</w:t>
            </w:r>
          </w:p>
          <w:p>
            <w:pPr>
              <w:snapToGrid w:val="0"/>
              <w:spacing w:line="280" w:lineRule="exact"/>
              <w:jc w:val="left"/>
              <w:rPr>
                <w:rFonts w:hint="eastAsia"/>
                <w:b w:val="0"/>
                <w:bCs/>
                <w:sz w:val="20"/>
                <w:szCs w:val="22"/>
              </w:rPr>
            </w:pPr>
            <w:r>
              <w:rPr>
                <w:rFonts w:hint="eastAsia"/>
                <w:b w:val="0"/>
                <w:bCs/>
                <w:sz w:val="20"/>
                <w:szCs w:val="22"/>
              </w:rPr>
              <w:t>人员流动损失，绩效考核不能有效落实，对工作完成质量造成不好的影响。</w:t>
            </w:r>
          </w:p>
          <w:p>
            <w:pPr>
              <w:snapToGrid w:val="0"/>
              <w:spacing w:line="280" w:lineRule="exact"/>
              <w:jc w:val="left"/>
              <w:rPr>
                <w:rFonts w:hint="eastAsia"/>
                <w:b w:val="0"/>
                <w:bCs/>
                <w:sz w:val="20"/>
                <w:szCs w:val="22"/>
              </w:rPr>
            </w:pPr>
          </w:p>
          <w:p>
            <w:pPr>
              <w:snapToGrid w:val="0"/>
              <w:spacing w:line="280" w:lineRule="exact"/>
              <w:jc w:val="left"/>
              <w:rPr>
                <w:rFonts w:hint="eastAsia"/>
                <w:b w:val="0"/>
                <w:bCs/>
                <w:sz w:val="20"/>
                <w:szCs w:val="22"/>
              </w:rPr>
            </w:pPr>
            <w:r>
              <w:rPr>
                <w:rFonts w:hint="eastAsia"/>
                <w:b w:val="0"/>
                <w:bCs/>
                <w:sz w:val="20"/>
                <w:szCs w:val="22"/>
              </w:rPr>
              <w:t xml:space="preserve">措施： </w:t>
            </w:r>
          </w:p>
          <w:p>
            <w:pPr>
              <w:snapToGrid w:val="0"/>
              <w:spacing w:line="280" w:lineRule="exact"/>
              <w:jc w:val="left"/>
              <w:rPr>
                <w:rFonts w:hint="eastAsia"/>
                <w:b w:val="0"/>
                <w:bCs/>
                <w:sz w:val="20"/>
                <w:szCs w:val="22"/>
              </w:rPr>
            </w:pPr>
            <w:r>
              <w:rPr>
                <w:rFonts w:hint="eastAsia"/>
                <w:b w:val="0"/>
                <w:bCs/>
                <w:sz w:val="20"/>
                <w:szCs w:val="22"/>
              </w:rPr>
              <w:t>销售部加大客户交流沟通，及时处理客户的需求和意见；</w:t>
            </w:r>
          </w:p>
          <w:p>
            <w:pPr>
              <w:snapToGrid w:val="0"/>
              <w:spacing w:line="280" w:lineRule="exact"/>
              <w:jc w:val="left"/>
              <w:rPr>
                <w:rFonts w:hint="eastAsia"/>
                <w:b w:val="0"/>
                <w:bCs/>
                <w:sz w:val="20"/>
                <w:szCs w:val="22"/>
              </w:rPr>
            </w:pPr>
            <w:r>
              <w:rPr>
                <w:rFonts w:hint="eastAsia"/>
                <w:b w:val="0"/>
                <w:bCs/>
                <w:sz w:val="20"/>
                <w:szCs w:val="22"/>
              </w:rPr>
              <w:t>设立专人定期跟踪业内及当地等的法律法规变化情况并及时收集评估；</w:t>
            </w:r>
          </w:p>
          <w:p>
            <w:pPr>
              <w:snapToGrid w:val="0"/>
              <w:spacing w:line="280" w:lineRule="exact"/>
              <w:jc w:val="left"/>
              <w:rPr>
                <w:rFonts w:hint="eastAsia"/>
                <w:b w:val="0"/>
                <w:bCs/>
                <w:sz w:val="20"/>
                <w:szCs w:val="22"/>
              </w:rPr>
            </w:pPr>
            <w:r>
              <w:rPr>
                <w:rFonts w:hint="eastAsia"/>
                <w:b w:val="0"/>
                <w:bCs/>
                <w:sz w:val="20"/>
                <w:szCs w:val="22"/>
              </w:rPr>
              <w:t>各部门及时关注员工心理变化，注意工作方式，创造良好的工作环境，提高员工归属感；</w:t>
            </w:r>
          </w:p>
          <w:p>
            <w:pPr>
              <w:snapToGrid w:val="0"/>
              <w:spacing w:line="280" w:lineRule="exact"/>
              <w:jc w:val="left"/>
              <w:rPr>
                <w:rFonts w:hint="eastAsia"/>
                <w:b w:val="0"/>
                <w:bCs/>
                <w:sz w:val="20"/>
                <w:szCs w:val="22"/>
              </w:rPr>
            </w:pPr>
            <w:r>
              <w:rPr>
                <w:rFonts w:hint="eastAsia"/>
                <w:b w:val="0"/>
                <w:bCs/>
                <w:sz w:val="20"/>
                <w:szCs w:val="22"/>
              </w:rPr>
              <w:t>综合部做好人员储备，防治人员流失后给公司带来风险；</w:t>
            </w:r>
          </w:p>
          <w:p>
            <w:pPr>
              <w:snapToGrid w:val="0"/>
              <w:spacing w:line="280" w:lineRule="exact"/>
              <w:jc w:val="left"/>
              <w:rPr>
                <w:rFonts w:hint="eastAsia"/>
                <w:b w:val="0"/>
                <w:bCs/>
                <w:sz w:val="20"/>
                <w:szCs w:val="22"/>
              </w:rPr>
            </w:pPr>
            <w:r>
              <w:rPr>
                <w:rFonts w:hint="eastAsia"/>
                <w:b w:val="0"/>
                <w:bCs/>
                <w:sz w:val="20"/>
                <w:szCs w:val="22"/>
              </w:rPr>
              <w:t>提高企业的效益，并适当调整公司薪酬水平，做好相关人员储备工作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6"/>
            <w:vAlign w:val="center"/>
          </w:tcPr>
          <w:p>
            <w:pPr>
              <w:snapToGrid w:val="0"/>
              <w:spacing w:line="280" w:lineRule="exact"/>
              <w:jc w:val="left"/>
              <w:rPr>
                <w:rFonts w:hint="eastAsia"/>
                <w:b w:val="0"/>
                <w:bCs/>
                <w:sz w:val="20"/>
                <w:szCs w:val="22"/>
              </w:rPr>
            </w:pPr>
            <w:r>
              <w:rPr>
                <w:rFonts w:hint="eastAsia"/>
                <w:b w:val="0"/>
                <w:bCs/>
                <w:sz w:val="20"/>
                <w:szCs w:val="22"/>
              </w:rPr>
              <w:t>编制了《环境因素的识别与评价控制程序》《危险源辩识、风险评价和风险控制策划程序》符合标准要求.</w:t>
            </w:r>
          </w:p>
          <w:p>
            <w:pPr>
              <w:snapToGrid w:val="0"/>
              <w:spacing w:line="280" w:lineRule="exact"/>
              <w:jc w:val="left"/>
              <w:rPr>
                <w:rFonts w:hint="eastAsia"/>
                <w:b w:val="0"/>
                <w:bCs/>
                <w:sz w:val="20"/>
                <w:szCs w:val="22"/>
              </w:rPr>
            </w:pPr>
            <w:r>
              <w:rPr>
                <w:rFonts w:hint="eastAsia"/>
                <w:b w:val="0"/>
                <w:bCs/>
                <w:sz w:val="20"/>
                <w:szCs w:val="22"/>
              </w:rPr>
              <w:t>提供的“环境因素识别评价表”“重要环境因素清单”， 评价考虑了三种时态现在、过去、将来、三种状态、异常、正常、紧急考虑了法律法规，并进行了评价，化工材料，许可范围内危险化学品销售及相关环境管理活动</w:t>
            </w:r>
          </w:p>
          <w:p>
            <w:pPr>
              <w:snapToGrid w:val="0"/>
              <w:spacing w:line="280" w:lineRule="exact"/>
              <w:jc w:val="left"/>
              <w:rPr>
                <w:rFonts w:hint="eastAsia"/>
                <w:b w:val="0"/>
                <w:bCs/>
                <w:sz w:val="20"/>
                <w:szCs w:val="22"/>
              </w:rPr>
            </w:pPr>
            <w:r>
              <w:rPr>
                <w:rFonts w:hint="eastAsia"/>
                <w:b w:val="0"/>
                <w:bCs/>
                <w:sz w:val="20"/>
                <w:szCs w:val="22"/>
              </w:rPr>
              <w:t>服务过程，用打分法考虑了法规符合性、发生频次、影响范围等, 通过定性判断法，共识别出重大环境因素2项：固废排放、火灾，评价符合程序要求及公司的实际情况。</w:t>
            </w:r>
          </w:p>
          <w:p>
            <w:pPr>
              <w:snapToGrid w:val="0"/>
              <w:spacing w:line="280" w:lineRule="exact"/>
              <w:jc w:val="left"/>
              <w:rPr>
                <w:rFonts w:hint="eastAsia"/>
                <w:b w:val="0"/>
                <w:bCs/>
                <w:sz w:val="20"/>
                <w:szCs w:val="22"/>
              </w:rPr>
            </w:pPr>
            <w:r>
              <w:rPr>
                <w:rFonts w:hint="eastAsia"/>
                <w:b w:val="0"/>
                <w:bCs/>
                <w:sz w:val="20"/>
                <w:szCs w:val="22"/>
              </w:rPr>
              <w:t>对重要环境因素的控制措施包括制定管理制度、监督检查、应急预案、培训等。提供《重要环境因素识别清单》，其中综合办涉及的重要环境因素：固废排放、意外火灾的发生，评价基本合理。</w:t>
            </w:r>
          </w:p>
          <w:p>
            <w:pPr>
              <w:snapToGrid w:val="0"/>
              <w:spacing w:line="280" w:lineRule="exact"/>
              <w:jc w:val="left"/>
              <w:rPr>
                <w:rFonts w:hint="eastAsia"/>
                <w:b w:val="0"/>
                <w:bCs/>
                <w:sz w:val="20"/>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pPr>
              <w:snapToGrid w:val="0"/>
              <w:spacing w:line="280" w:lineRule="exact"/>
              <w:jc w:val="left"/>
              <w:rPr>
                <w:rFonts w:hint="eastAsia"/>
                <w:b w:val="0"/>
                <w:bCs/>
                <w:sz w:val="20"/>
                <w:szCs w:val="22"/>
              </w:rPr>
            </w:pPr>
            <w:r>
              <w:rPr>
                <w:rFonts w:hint="eastAsia"/>
                <w:b w:val="0"/>
                <w:bCs/>
                <w:sz w:val="20"/>
                <w:szCs w:val="22"/>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snapToGrid w:val="0"/>
              <w:spacing w:line="280" w:lineRule="exact"/>
              <w:jc w:val="left"/>
              <w:rPr>
                <w:rFonts w:hint="eastAsia"/>
                <w:b w:val="0"/>
                <w:bCs/>
                <w:sz w:val="20"/>
                <w:szCs w:val="22"/>
              </w:rPr>
            </w:pPr>
            <w:r>
              <w:rPr>
                <w:rFonts w:hint="eastAsia"/>
                <w:b w:val="0"/>
                <w:bCs/>
                <w:sz w:val="20"/>
                <w:szCs w:val="22"/>
              </w:rPr>
              <w:t>提供的：“危险源识别与风险评价表”“不可接受风险源清单”， 评价考虑了将来、状态、可能导致的事件，并进行了评价，用打分法考虑了法规符合性、发生频次、影响范围等, 通过是非法，共识别出不可接受风险3项，涉及：火灾和触电、意外伤害。评价符合程序要求及公司的实际情况。对危险源的控制措施包括制定管理制度、监督检查、应急预案、培训等。</w:t>
            </w:r>
          </w:p>
          <w:p>
            <w:pPr>
              <w:snapToGrid w:val="0"/>
              <w:spacing w:line="280" w:lineRule="exact"/>
              <w:jc w:val="left"/>
              <w:rPr>
                <w:rFonts w:hint="eastAsia"/>
                <w:b w:val="0"/>
                <w:bCs/>
                <w:sz w:val="20"/>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6"/>
            <w:vAlign w:val="center"/>
          </w:tcPr>
          <w:p>
            <w:pPr>
              <w:snapToGrid w:val="0"/>
              <w:spacing w:line="280" w:lineRule="exact"/>
              <w:jc w:val="left"/>
              <w:rPr>
                <w:b/>
                <w:sz w:val="20"/>
              </w:rPr>
            </w:pPr>
            <w:r>
              <w:rPr>
                <w:rFonts w:hint="eastAsia"/>
                <w:b w:val="0"/>
                <w:bCs/>
                <w:sz w:val="20"/>
              </w:rPr>
              <w:t>《GB/T16868-2009商品经营服务质量管理规范》、《GB/T15624-2011服务标准化工作指南》AQ 3013-2008危险化学品从</w:t>
            </w:r>
            <w:r>
              <w:rPr>
                <w:rFonts w:hint="eastAsia"/>
                <w:b w:val="0"/>
                <w:bCs/>
                <w:sz w:val="20"/>
              </w:rPr>
              <w:t>业单位安全标准化通用规范、AQ/T 3052-2015危险化学品事故应急救援指挥导则DB11/T 1322.5-2017安全生产等级评定技术规范 第5部分：危险化学品经营企业DB13/T 2941-2019危险化学品登记管理规范DB37/T997-2008危险化学品作业场所警示标志标识规范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72"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6"/>
            <w:vAlign w:val="center"/>
          </w:tcPr>
          <w:p>
            <w:pPr>
              <w:snapToGrid w:val="0"/>
              <w:spacing w:line="280" w:lineRule="exact"/>
              <w:jc w:val="center"/>
              <w:rPr>
                <w:rFonts w:hint="eastAsia" w:eastAsia="宋体"/>
                <w:b/>
                <w:sz w:val="20"/>
                <w:lang w:val="en-US" w:eastAsia="zh-CN"/>
              </w:rPr>
            </w:pPr>
            <w:r>
              <w:rPr>
                <w:rFonts w:hint="eastAsia"/>
                <w:b/>
                <w:sz w:val="20"/>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8" w:space="0"/>
            </w:tcBorders>
            <w:vAlign w:val="center"/>
          </w:tcPr>
          <w:p>
            <w:pPr>
              <w:snapToGrid w:val="0"/>
              <w:spacing w:line="280" w:lineRule="exact"/>
              <w:jc w:val="center"/>
              <w:rPr>
                <w:rFonts w:hint="eastAsia" w:eastAsia="宋体"/>
                <w:b/>
                <w:sz w:val="20"/>
                <w:lang w:val="en-US" w:eastAsia="zh-CN"/>
              </w:rPr>
            </w:pPr>
            <w:r>
              <w:rPr>
                <w:rFonts w:hint="eastAsia"/>
                <w:b/>
                <w:sz w:val="20"/>
                <w:lang w:val="en-US" w:eastAsia="zh-CN"/>
              </w:rPr>
              <w:t>/</w:t>
            </w:r>
          </w:p>
        </w:tc>
      </w:tr>
    </w:tbl>
    <w:p>
      <w:pPr>
        <w:snapToGrid w:val="0"/>
        <w:rPr>
          <w:rFonts w:ascii="宋体"/>
          <w:b/>
          <w:sz w:val="22"/>
          <w:szCs w:val="22"/>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w:t>
      </w:r>
      <w:r>
        <w:rPr>
          <w:rFonts w:hint="eastAsia" w:ascii="宋体"/>
          <w:b/>
          <w:sz w:val="18"/>
          <w:szCs w:val="18"/>
          <w:lang w:val="en-US" w:eastAsia="zh-CN"/>
        </w:rPr>
        <w:t>李京田</w:t>
      </w:r>
      <w:r>
        <w:rPr>
          <w:rFonts w:hint="eastAsia" w:ascii="宋体"/>
          <w:b/>
          <w:sz w:val="18"/>
          <w:szCs w:val="18"/>
        </w:rPr>
        <w:t xml:space="preserve"> </w:t>
      </w:r>
      <w:r>
        <w:rPr>
          <w:rFonts w:ascii="宋体"/>
          <w:b/>
          <w:sz w:val="18"/>
          <w:szCs w:val="18"/>
        </w:rPr>
        <w:t xml:space="preserve">           </w:t>
      </w:r>
      <w:r>
        <w:rPr>
          <w:rFonts w:hint="eastAsia"/>
          <w:b/>
          <w:sz w:val="22"/>
          <w:szCs w:val="22"/>
        </w:rPr>
        <w:t>日期</w:t>
      </w:r>
      <w:r>
        <w:rPr>
          <w:rFonts w:hint="eastAsia"/>
          <w:b/>
          <w:sz w:val="18"/>
          <w:szCs w:val="18"/>
        </w:rPr>
        <w:t>：</w:t>
      </w:r>
      <w:r>
        <w:rPr>
          <w:rFonts w:ascii="宋体"/>
          <w:b/>
          <w:sz w:val="22"/>
          <w:szCs w:val="22"/>
        </w:rPr>
        <w:t xml:space="preserve"> </w:t>
      </w:r>
      <w:r>
        <w:rPr>
          <w:rFonts w:hint="eastAsia" w:ascii="宋体"/>
          <w:b/>
          <w:sz w:val="22"/>
          <w:szCs w:val="22"/>
          <w:lang w:val="en-US" w:eastAsia="zh-CN"/>
        </w:rPr>
        <w:t>2020.12.10</w:t>
      </w:r>
      <w:r>
        <w:rPr>
          <w:rFonts w:ascii="宋体"/>
          <w:b/>
          <w:sz w:val="22"/>
          <w:szCs w:val="22"/>
        </w:rPr>
        <w:t xml:space="preserve">    </w:t>
      </w:r>
      <w:r>
        <w:rPr>
          <w:rFonts w:hint="eastAsia" w:ascii="宋体"/>
          <w:b/>
          <w:sz w:val="22"/>
          <w:szCs w:val="22"/>
        </w:rPr>
        <w:t>审核组长</w:t>
      </w:r>
      <w:r>
        <w:rPr>
          <w:rFonts w:hint="eastAsia" w:ascii="宋体"/>
          <w:b/>
          <w:sz w:val="18"/>
          <w:szCs w:val="18"/>
        </w:rPr>
        <w:t>：</w:t>
      </w:r>
      <w:r>
        <w:rPr>
          <w:rFonts w:ascii="宋体"/>
          <w:b/>
          <w:sz w:val="18"/>
          <w:szCs w:val="18"/>
        </w:rPr>
        <w:t xml:space="preserve"> </w:t>
      </w:r>
      <w:r>
        <w:rPr>
          <w:rFonts w:hint="eastAsia" w:ascii="宋体"/>
          <w:b/>
          <w:sz w:val="18"/>
          <w:szCs w:val="18"/>
          <w:lang w:val="en-US" w:eastAsia="zh-CN"/>
        </w:rPr>
        <w:t>李京田</w:t>
      </w:r>
      <w:r>
        <w:rPr>
          <w:rFonts w:hint="eastAsia" w:ascii="宋体"/>
          <w:b/>
          <w:sz w:val="18"/>
          <w:szCs w:val="18"/>
        </w:rPr>
        <w:t xml:space="preserve"> </w:t>
      </w:r>
      <w:r>
        <w:rPr>
          <w:rFonts w:ascii="宋体"/>
          <w:b/>
          <w:sz w:val="18"/>
          <w:szCs w:val="18"/>
        </w:rPr>
        <w:t xml:space="preserve">    </w:t>
      </w:r>
      <w:bookmarkStart w:id="6" w:name="_GoBack"/>
      <w:bookmarkEnd w:id="6"/>
      <w:r>
        <w:rPr>
          <w:rFonts w:ascii="宋体"/>
          <w:b/>
          <w:sz w:val="18"/>
          <w:szCs w:val="18"/>
        </w:rPr>
        <w:t xml:space="preserve"> </w:t>
      </w:r>
      <w:r>
        <w:rPr>
          <w:rFonts w:hint="eastAsia"/>
          <w:b/>
          <w:sz w:val="22"/>
          <w:szCs w:val="22"/>
        </w:rPr>
        <w:t>日期</w:t>
      </w:r>
      <w:r>
        <w:rPr>
          <w:rFonts w:hint="eastAsia"/>
          <w:b/>
          <w:sz w:val="18"/>
          <w:szCs w:val="18"/>
        </w:rPr>
        <w:t>：</w:t>
      </w:r>
      <w:r>
        <w:rPr>
          <w:rFonts w:ascii="宋体"/>
          <w:b/>
          <w:sz w:val="22"/>
          <w:szCs w:val="22"/>
        </w:rPr>
        <w:t xml:space="preserve"> </w:t>
      </w:r>
      <w:r>
        <w:rPr>
          <w:rFonts w:hint="eastAsia" w:ascii="宋体"/>
          <w:b/>
          <w:sz w:val="22"/>
          <w:szCs w:val="22"/>
          <w:lang w:val="en-US" w:eastAsia="zh-CN"/>
        </w:rPr>
        <w:t>2020.12.10</w:t>
      </w:r>
      <w:r>
        <w:rPr>
          <w:rFonts w:ascii="宋体"/>
          <w:b/>
          <w:sz w:val="22"/>
          <w:szCs w:val="22"/>
        </w:rPr>
        <w:t xml:space="preserve"> </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w:pict>
        <v:shape id="文本框 1" o:spid="_x0000_s2050"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6</w:t>
                </w:r>
                <w:r>
                  <w:rPr>
                    <w:rFonts w:hint="eastAsia"/>
                    <w:sz w:val="18"/>
                    <w:szCs w:val="18"/>
                  </w:rPr>
                  <w:t xml:space="preserve"> 专业培训记录(03版)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5"/>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F13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8"/>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字符"/>
    <w:link w:val="4"/>
    <w:locked/>
    <w:uiPriority w:val="99"/>
    <w:rPr>
      <w:rFonts w:ascii="Times New Roman" w:hAnsi="Times New Roman" w:eastAsia="宋体" w:cs="Times New Roman"/>
      <w:sz w:val="18"/>
      <w:szCs w:val="18"/>
    </w:rPr>
  </w:style>
  <w:style w:type="character" w:customStyle="1" w:styleId="9">
    <w:name w:val="页眉 字符"/>
    <w:link w:val="5"/>
    <w:qFormat/>
    <w:locked/>
    <w:uiPriority w:val="99"/>
    <w:rPr>
      <w:rFonts w:ascii="Times New Roman" w:hAnsi="Times New Roman" w:eastAsia="宋体" w:cs="Times New Roman"/>
      <w:sz w:val="18"/>
      <w:szCs w:val="18"/>
    </w:rPr>
  </w:style>
  <w:style w:type="character" w:customStyle="1" w:styleId="10">
    <w:name w:val="批注框文本 字符"/>
    <w:link w:val="3"/>
    <w:semiHidden/>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46</Words>
  <Characters>267</Characters>
  <Lines>2</Lines>
  <Paragraphs>1</Paragraphs>
  <TotalTime>0</TotalTime>
  <ScaleCrop>false</ScaleCrop>
  <LinksUpToDate>false</LinksUpToDate>
  <CharactersWithSpaces>312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2020-12-11T08:12:44Z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