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0657-2020-Q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新乡市金明能源有限公司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Xinxiang Jinming energy resources co.,LTD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卫滨区黄河大道168号(市南环路与引黄路交叉口西北角)</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453000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 xml:space="preserve">(英文)：No.168 Huanghe </w:t>
      </w:r>
      <w:r>
        <w:rPr>
          <w:rFonts w:hint="eastAsia"/>
          <w:b w:val="0"/>
          <w:bCs/>
          <w:color w:val="000000" w:themeColor="text1"/>
          <w:sz w:val="22"/>
          <w:szCs w:val="22"/>
          <w:lang w:val="en-US" w:eastAsia="zh-CN"/>
        </w:rPr>
        <w:t>Road</w:t>
      </w:r>
      <w:r>
        <w:rPr>
          <w:rFonts w:hint="eastAsia"/>
          <w:b w:val="0"/>
          <w:bCs/>
          <w:color w:val="000000" w:themeColor="text1"/>
          <w:sz w:val="22"/>
          <w:szCs w:val="22"/>
        </w:rPr>
        <w:t>, Weibin District (northwest corner of intersection of Shinan Ring Road and Yinhuang Road)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新乡市卫滨区黄河大道168号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453000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 xml:space="preserve">(英文)：No.168 Huanghe </w:t>
      </w:r>
      <w:bookmarkStart w:id="16" w:name="_GoBack"/>
      <w:bookmarkEnd w:id="16"/>
      <w:r>
        <w:rPr>
          <w:rFonts w:hint="eastAsia"/>
          <w:b w:val="0"/>
          <w:bCs/>
          <w:color w:val="000000" w:themeColor="text1"/>
          <w:sz w:val="22"/>
          <w:szCs w:val="22"/>
          <w:lang w:val="en-US" w:eastAsia="zh-CN"/>
        </w:rPr>
        <w:t>Road</w:t>
      </w:r>
      <w:r>
        <w:rPr>
          <w:rFonts w:hint="eastAsia"/>
          <w:b w:val="0"/>
          <w:bCs/>
          <w:color w:val="000000" w:themeColor="text1"/>
          <w:sz w:val="22"/>
          <w:szCs w:val="22"/>
        </w:rPr>
        <w:t>, Weibin District, Xinxiang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91410703794260743M</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0373-5092186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张万库</w:t>
      </w:r>
      <w:bookmarkEnd w:id="10"/>
      <w:r>
        <w:rPr>
          <w:rFonts w:hint="eastAsia"/>
          <w:b w:val="0"/>
          <w:bCs/>
          <w:color w:val="000000" w:themeColor="text1"/>
          <w:sz w:val="22"/>
          <w:szCs w:val="22"/>
          <w:lang w:val="en-US" w:eastAsia="zh-CN"/>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何新辉</w:t>
      </w:r>
      <w:bookmarkEnd w:id="11"/>
      <w:r>
        <w:rPr>
          <w:rFonts w:hint="eastAsia"/>
          <w:b w:val="0"/>
          <w:bCs/>
          <w:color w:val="000000" w:themeColor="text1"/>
          <w:sz w:val="22"/>
          <w:szCs w:val="22"/>
          <w:lang w:val="en-US" w:eastAsia="zh-CN"/>
        </w:rPr>
        <w:t xml:space="preserve">    </w:t>
      </w:r>
      <w:r>
        <w:rPr>
          <w:rFonts w:hint="eastAsia"/>
          <w:b w:val="0"/>
          <w:bCs/>
          <w:color w:val="000000" w:themeColor="text1"/>
          <w:sz w:val="22"/>
          <w:szCs w:val="22"/>
        </w:rPr>
        <w:t>组织人数：</w:t>
      </w:r>
      <w:bookmarkStart w:id="12" w:name="企业人数"/>
      <w:r>
        <w:rPr>
          <w:b w:val="0"/>
          <w:bCs/>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GB/T19001-2016/ISO9001:2015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eastAsia="zh-CN"/>
        </w:rPr>
        <w:t>☑</w:t>
      </w:r>
      <w:r>
        <w:rPr>
          <w:rFonts w:hint="eastAsia"/>
          <w:b w:val="0"/>
          <w:bCs/>
          <w:color w:val="000000" w:themeColor="text1"/>
          <w:sz w:val="22"/>
          <w:szCs w:val="22"/>
        </w:rPr>
        <w:t>QMS</w:t>
      </w:r>
      <w:r>
        <w:rPr>
          <w:rFonts w:hint="eastAsia"/>
          <w:b w:val="0"/>
          <w:bCs/>
          <w:color w:val="000000" w:themeColor="text1"/>
          <w:sz w:val="22"/>
          <w:szCs w:val="22"/>
          <w:lang w:eastAsia="zh-CN"/>
        </w:rPr>
        <w:t>：</w:t>
      </w:r>
      <w:r>
        <w:rPr>
          <w:rFonts w:hint="eastAsia"/>
          <w:b w:val="0"/>
          <w:bCs/>
          <w:color w:val="000000" w:themeColor="text1"/>
          <w:sz w:val="22"/>
          <w:szCs w:val="22"/>
        </w:rPr>
        <w:t>电池（镍氢、镍镉）、机械（钢带）加工</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英文：Battery (Ni MH, Ni Cd), mechanical (steel strip) processing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79185" cy="8790305"/>
            <wp:effectExtent l="0" t="0" r="5715" b="10795"/>
            <wp:docPr id="2" name="图片 2" descr="新文档 2020-12-03 10.00.26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3 10.00.26_17"/>
                    <pic:cNvPicPr>
                      <a:picLocks noChangeAspect="1"/>
                    </pic:cNvPicPr>
                  </pic:nvPicPr>
                  <pic:blipFill>
                    <a:blip r:embed="rId5"/>
                    <a:stretch>
                      <a:fillRect/>
                    </a:stretch>
                  </pic:blipFill>
                  <pic:spPr>
                    <a:xfrm>
                      <a:off x="0" y="0"/>
                      <a:ext cx="6179185" cy="8790305"/>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33B82"/>
    <w:multiLevelType w:val="singleLevel"/>
    <w:tmpl w:val="C8E33B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C846DE"/>
    <w:rsid w:val="55437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2020-12-04T08:39:46Z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