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468"/>
        <w:gridCol w:w="1018"/>
        <w:gridCol w:w="577"/>
        <w:gridCol w:w="397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Cs w:val="22"/>
                <w:lang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szCs w:val="22"/>
                <w:lang w:eastAsia="zh-CN"/>
              </w:rPr>
              <w:t>管理层</w:t>
            </w:r>
          </w:p>
        </w:tc>
        <w:tc>
          <w:tcPr>
            <w:tcW w:w="46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t>综合管理部</w:t>
            </w:r>
          </w:p>
        </w:tc>
        <w:tc>
          <w:tcPr>
            <w:tcW w:w="101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t>市场策划部</w:t>
            </w:r>
          </w:p>
        </w:tc>
        <w:tc>
          <w:tcPr>
            <w:tcW w:w="57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eastAsia="宋体"/>
                <w:lang w:eastAsia="zh-CN"/>
              </w:rPr>
              <w:t>技术工程部</w:t>
            </w:r>
          </w:p>
        </w:tc>
        <w:tc>
          <w:tcPr>
            <w:tcW w:w="39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1（8.4.1））</w:t>
            </w: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2A0659"/>
    <w:rsid w:val="42C976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2019-10-11T05:38:46Z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