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00192017QEO/0062-2017-2020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vertAlign w:val="subscript"/>
                <w:lang w:val="en-US" w:eastAsia="zh-CN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=0.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0-150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984" w:type="dxa"/>
            <w:gridSpan w:val="2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XH/ZY-03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宋体" w:hAnsi="宋体"/>
                <w:color w:val="auto"/>
                <w:szCs w:val="21"/>
              </w:rPr>
              <w:t>不确定度评定》附录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有效性确认记录》</w:t>
            </w:r>
            <w:r>
              <w:rPr>
                <w:rFonts w:hint="eastAsia" w:ascii="宋体" w:hAnsi="宋体"/>
                <w:color w:val="auto"/>
                <w:szCs w:val="21"/>
              </w:rPr>
              <w:t>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监视统计记录及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控制</w:t>
            </w:r>
            <w:r>
              <w:rPr>
                <w:rFonts w:hint="eastAsia" w:ascii="Times New Roman" w:hAnsi="Times New Roman"/>
                <w:color w:val="auto"/>
              </w:rPr>
              <w:t>图》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附录 C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344B2"/>
    <w:rsid w:val="0C393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2020-12-20T07:19:19Z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