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方力控股股份有限公司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GB/T45001-2020 / ISO45001：2018</w:t>
      </w:r>
      <w:bookmarkEnd w:id="4"/>
    </w:p>
    <w:p>
      <w:pPr>
        <w:pStyle w:val="14"/>
        <w:numPr>
          <w:ilvl w:val="0"/>
          <w:numId w:val="1"/>
        </w:numPr>
        <w:ind w:left="-142" w:hanging="709" w:firstLineChars="0"/>
        <w:rPr>
          <w:b/>
          <w:bCs/>
          <w:sz w:val="28"/>
          <w:szCs w:val="28"/>
        </w:rPr>
      </w:pPr>
      <w:r>
        <w:rPr>
          <w:rFonts w:hint="eastAsia"/>
          <w:b/>
          <w:bCs/>
          <w:sz w:val="28"/>
          <w:szCs w:val="28"/>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方力控股股份有限公司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175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三门县浦坝港镇（浙江三门沿海工业城）</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317100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三门县浦坝港镇（浙江三门沿海工业城）</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317100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侯学舜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15867099901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葛学选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侯学舜</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机座号355及以下三相异步电动机和机座号355及以下防爆电机的设计和生产（资质许可范围内）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高管层（含员工代表）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内外部环境、风险识别、资源支持、管理评审等，与管理层有关的职业健康安全管理活动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lang w:val="en-US" w:eastAsia="zh-CN"/>
              </w:rPr>
              <w:t>采购</w:t>
            </w:r>
            <w:r>
              <w:rPr>
                <w:rFonts w:hint="eastAsia" w:cs="宋体" w:asciiTheme="minorEastAsia" w:hAnsiTheme="minorEastAsia" w:eastAsiaTheme="minorEastAsia"/>
                <w:sz w:val="20"/>
                <w:szCs w:val="20"/>
              </w:rPr>
              <w:t>部、</w:t>
            </w:r>
            <w:r>
              <w:rPr>
                <w:rFonts w:hint="eastAsia" w:cs="宋体" w:asciiTheme="minorEastAsia" w:hAnsiTheme="minorEastAsia" w:eastAsiaTheme="minorEastAsia"/>
                <w:sz w:val="20"/>
                <w:szCs w:val="20"/>
                <w:lang w:val="en-US" w:eastAsia="zh-CN"/>
              </w:rPr>
              <w:t>业务</w:t>
            </w:r>
            <w:r>
              <w:rPr>
                <w:rFonts w:hint="eastAsia" w:cs="宋体" w:asciiTheme="minorEastAsia" w:hAnsiTheme="minorEastAsia" w:eastAsiaTheme="minorEastAsia"/>
                <w:sz w:val="20"/>
                <w:szCs w:val="20"/>
              </w:rPr>
              <w:t>部</w:t>
            </w:r>
          </w:p>
        </w:tc>
        <w:tc>
          <w:tcPr>
            <w:tcW w:w="6804" w:type="dxa"/>
            <w:vAlign w:val="top"/>
          </w:tcPr>
          <w:p>
            <w:pPr>
              <w:jc w:val="left"/>
              <w:rPr>
                <w:rFonts w:hint="default" w:ascii="宋体" w:hAnsi="宋体" w:cs="Times New Roman" w:eastAsiaTheme="minorEastAsia"/>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采购过程、销售过程、客户满意相关等过程及相应职业健康安全管理体系运行过程</w:t>
            </w:r>
            <w:r>
              <w:rPr>
                <w:rFonts w:hint="eastAsia" w:cs="宋体" w:asciiTheme="minorEastAsia" w:hAnsiTheme="minorEastAsia" w:eastAsiaTheme="minor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lang w:val="en-US" w:eastAsia="zh-CN"/>
              </w:rPr>
              <w:t>生产</w:t>
            </w:r>
            <w:r>
              <w:rPr>
                <w:rFonts w:hint="eastAsia" w:cs="宋体" w:asciiTheme="minorEastAsia" w:hAnsiTheme="minorEastAsia" w:eastAsiaTheme="minorEastAsia"/>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基础设施、过程环境、生产实现过程、产品和服务的要求、危险源辨识、风险评价和风险控制措施的确定、应急准备和响应及相应环境、职业健康安全管理体系运行过程控制；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cs="宋体" w:asciiTheme="minorEastAsia" w:hAnsiTheme="minorEastAsia" w:eastAsiaTheme="minorEastAsia"/>
                <w:sz w:val="20"/>
                <w:szCs w:val="20"/>
              </w:rPr>
              <w:t>品</w:t>
            </w:r>
            <w:r>
              <w:rPr>
                <w:rFonts w:hint="eastAsia" w:cs="宋体" w:asciiTheme="minorEastAsia" w:hAnsiTheme="minorEastAsia" w:eastAsiaTheme="minorEastAsia"/>
                <w:sz w:val="20"/>
                <w:szCs w:val="20"/>
                <w:lang w:val="en-US" w:eastAsia="zh-CN"/>
              </w:rPr>
              <w:t>保</w:t>
            </w:r>
            <w:r>
              <w:rPr>
                <w:rFonts w:hint="eastAsia" w:cs="宋体" w:asciiTheme="minorEastAsia" w:hAnsiTheme="minorEastAsia" w:eastAsiaTheme="minorEastAsia"/>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不合格品的管控、监视和测量、纠正预防、改进、危险源辨识、风险评价和风险控制措施的确定、应急准备和响应及相应环境、职业健康安全管理体系运行过程控制；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技术部</w:t>
            </w:r>
          </w:p>
        </w:tc>
        <w:tc>
          <w:tcPr>
            <w:tcW w:w="6804" w:type="dxa"/>
            <w:vAlign w:val="top"/>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lang w:val="en-US" w:eastAsia="zh-CN"/>
              </w:rPr>
              <w:t>新产品开发、新工艺开发的</w:t>
            </w:r>
            <w:r>
              <w:rPr>
                <w:rFonts w:hint="eastAsia" w:cs="宋体" w:asciiTheme="minorEastAsia" w:hAnsiTheme="minorEastAsia" w:eastAsiaTheme="minorEastAsia"/>
                <w:sz w:val="20"/>
                <w:szCs w:val="20"/>
              </w:rPr>
              <w:t>管控、监视和测量、纠正预防、改进、危险源辨识、风险评价和风险控制措施的确定、应急准备和响应及相应环境、职业健康安全管理体系运行过程控制；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ind w:firstLine="1000" w:firstLineChars="500"/>
              <w:jc w:val="left"/>
              <w:rPr>
                <w:rFonts w:hint="eastAsia" w:ascii="宋体" w:hAnsi="宋体" w:eastAsia="宋体" w:cs="Times New Roman"/>
                <w:b/>
                <w:color w:val="000000" w:themeColor="text1"/>
                <w:kern w:val="2"/>
                <w:sz w:val="21"/>
                <w:szCs w:val="21"/>
                <w:lang w:val="en-US" w:eastAsia="zh-CN" w:bidi="ar-SA"/>
              </w:rPr>
            </w:pPr>
            <w:r>
              <w:rPr>
                <w:rFonts w:hint="eastAsia" w:cs="宋体" w:asciiTheme="minorEastAsia" w:hAnsiTheme="minorEastAsia" w:eastAsiaTheme="minorEastAsia"/>
                <w:sz w:val="20"/>
                <w:szCs w:val="20"/>
                <w:lang w:val="en-US" w:eastAsia="zh-CN"/>
              </w:rPr>
              <w:t>人力资源</w:t>
            </w:r>
            <w:r>
              <w:rPr>
                <w:rFonts w:hint="eastAsia" w:cs="宋体" w:asciiTheme="minorEastAsia" w:hAnsiTheme="minorEastAsia" w:eastAsiaTheme="minorEastAsia"/>
                <w:sz w:val="20"/>
                <w:szCs w:val="20"/>
                <w:lang w:eastAsia="zh-CN"/>
              </w:rPr>
              <w:t>部</w:t>
            </w:r>
          </w:p>
        </w:tc>
        <w:tc>
          <w:tcPr>
            <w:tcW w:w="0" w:type="auto"/>
            <w:vAlign w:val="top"/>
          </w:tcPr>
          <w:p>
            <w:pPr>
              <w:jc w:val="left"/>
              <w:rPr>
                <w:rFonts w:ascii="宋体" w:hAnsi="宋体" w:eastAsia="宋体" w:cs="Times New Roman"/>
                <w:b/>
                <w:color w:val="000000" w:themeColor="text1"/>
                <w:spacing w:val="-20"/>
                <w:kern w:val="2"/>
                <w:sz w:val="21"/>
                <w:szCs w:val="21"/>
                <w:u w:val="single"/>
                <w:lang w:val="en-US" w:eastAsia="zh-CN" w:bidi="ar-SA"/>
              </w:rPr>
            </w:pPr>
            <w:r>
              <w:rPr>
                <w:rFonts w:hint="eastAsia" w:cs="宋体" w:asciiTheme="minorEastAsia" w:hAnsiTheme="minorEastAsia" w:eastAsiaTheme="minorEastAsia"/>
                <w:sz w:val="20"/>
                <w:szCs w:val="20"/>
              </w:rPr>
              <w:t>人力资源管理过程；</w:t>
            </w:r>
            <w:r>
              <w:rPr>
                <w:rFonts w:hint="eastAsia" w:cs="宋体" w:asciiTheme="minorEastAsia" w:hAnsiTheme="minorEastAsia" w:eastAsiaTheme="minorEastAsia"/>
                <w:sz w:val="20"/>
                <w:szCs w:val="20"/>
                <w:lang w:val="en-US" w:eastAsia="zh-CN"/>
              </w:rPr>
              <w:t>培训安全教育；</w:t>
            </w:r>
            <w:r>
              <w:rPr>
                <w:rFonts w:hint="eastAsia" w:cs="宋体" w:asciiTheme="minorEastAsia" w:hAnsiTheme="minorEastAsia" w:eastAsiaTheme="minorEastAsia"/>
                <w:sz w:val="20"/>
                <w:szCs w:val="20"/>
              </w:rPr>
              <w:t>资源提供与管理过程控制；内外部信息交流过程；内审管理；内外部信息交流、等过程及相应环境、职业健康安全管理体系运行过程；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ind w:firstLine="1500" w:firstLineChars="750"/>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rPr>
              <w:t>财务部</w:t>
            </w:r>
          </w:p>
        </w:tc>
        <w:tc>
          <w:tcPr>
            <w:tcW w:w="0" w:type="auto"/>
            <w:vAlign w:val="top"/>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rPr>
              <w:t>财务资金支持</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themeColor="text1"/>
                <w:sz w:val="20"/>
                <w:szCs w:val="20"/>
              </w:rPr>
            </w:pPr>
            <w:r>
              <w:rPr>
                <w:rFonts w:hint="eastAsia" w:cs="宋体" w:asciiTheme="minorEastAsia" w:hAnsiTheme="minorEastAsia" w:eastAsiaTheme="minor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4"/>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 xml:space="preserve">销售部门和相关职能部门通过日常例会、市场活动、现场拜访、产品展销会、客户调查等多种渠道和方式方法随时了解相关方的需求和期望。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ind w:left="0" w:leftChars="0" w:firstLine="0" w:firstLineChars="0"/>
              <w:rPr>
                <w:b/>
                <w:color w:val="000000" w:themeColor="text1"/>
                <w:sz w:val="20"/>
                <w:szCs w:val="20"/>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jc w:val="left"/>
              <w:rPr>
                <w:b/>
                <w:color w:val="000000" w:themeColor="text1"/>
              </w:rPr>
            </w:pPr>
            <w:r>
              <w:rPr>
                <w:rFonts w:hint="eastAsia" w:cs="宋体" w:asciiTheme="minorEastAsia" w:hAnsiTheme="minorEastAsia" w:eastAsiaTheme="minorEastAsia"/>
                <w:sz w:val="20"/>
                <w:szCs w:val="20"/>
              </w:rPr>
              <w:t>公司的管理方针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00" w:firstLineChars="200"/>
              <w:rPr>
                <w:rFonts w:hint="eastAsia"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公司制订危险源辩识风险评价控制程序，根据办公、采购、销售、生产、检验等过程及工作特点对涉及的危险源进行了识别和辨识。</w:t>
            </w:r>
          </w:p>
          <w:p>
            <w:pPr>
              <w:ind w:firstLine="400" w:firstLineChars="200"/>
              <w:rPr>
                <w:rFonts w:hint="eastAsia" w:ascii="宋体" w:hAnsi="宋体"/>
                <w:b/>
                <w:color w:val="000000" w:themeColor="text1"/>
                <w:spacing w:val="-8"/>
                <w:sz w:val="20"/>
                <w:szCs w:val="20"/>
              </w:rPr>
            </w:pPr>
            <w:r>
              <w:rPr>
                <w:rFonts w:hint="eastAsia" w:cs="宋体" w:asciiTheme="minorEastAsia" w:hAnsiTheme="minorEastAsia" w:eastAsiaTheme="minorEastAsia"/>
                <w:bCs/>
                <w:sz w:val="20"/>
                <w:szCs w:val="20"/>
              </w:rPr>
              <w:t>不可接受风险主要有：职业病</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lang w:val="en-US" w:eastAsia="zh-CN"/>
              </w:rPr>
              <w:t>化学物质、粉尘、噪声</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rPr>
              <w:t>、机械伤害、触电、火灾、爆炸。以上危险源识别基本全面、无遗漏，评价基本合理。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300" w:lineRule="exact"/>
              <w:ind w:firstLineChars="0"/>
              <w:rPr>
                <w:rFonts w:cs="宋体" w:asciiTheme="minorEastAsia" w:hAnsiTheme="minorEastAsia" w:eastAsiaTheme="minorEastAsia"/>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查有公司级管理目标，并按照部门对目标进行分解，有目标管理管理规定，规定了目标的分解及考核的具体方法。</w:t>
            </w:r>
          </w:p>
          <w:p>
            <w:pPr>
              <w:spacing w:line="2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因工死亡、重伤事故发生率为零；</w:t>
            </w:r>
          </w:p>
          <w:p>
            <w:pPr>
              <w:spacing w:line="2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与方针一致，符合公司总的职业健康安全目标，202</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日 ，进行了统计及目标实现分析，经查，达成目标，并将管理目标完成情况在公司会议上进行通报。</w:t>
            </w:r>
          </w:p>
          <w:p>
            <w:pPr>
              <w:spacing w:line="240" w:lineRule="exact"/>
              <w:rPr>
                <w:rFonts w:ascii="宋体" w:hAnsi="宋体"/>
                <w:b/>
                <w:color w:val="000000" w:themeColor="text1"/>
              </w:rPr>
            </w:pPr>
            <w:r>
              <w:rPr>
                <w:rFonts w:hint="eastAsia" w:cs="宋体" w:asciiTheme="minorEastAsia" w:hAnsiTheme="minorEastAsia" w:eastAsiaTheme="minorEastAsia"/>
                <w:szCs w:val="21"/>
              </w:rPr>
              <w:t>提供《目标指标和管理方案》以上目标指标均已完成，管理方案规定了措施方法、完成时间表、责任人、资金等情况。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受审核方建立的管理体系文件包括：</w:t>
            </w:r>
          </w:p>
          <w:p>
            <w:pPr>
              <w:numPr>
                <w:ilvl w:val="0"/>
                <w:numId w:val="4"/>
              </w:numPr>
              <w:rPr>
                <w:rFonts w:cs="宋体" w:asciiTheme="minorEastAsia" w:hAnsiTheme="minorEastAsia" w:eastAsiaTheme="minorEastAsia"/>
                <w:szCs w:val="21"/>
              </w:rPr>
            </w:pPr>
            <w:r>
              <w:rPr>
                <w:rFonts w:hint="eastAsia" w:cs="宋体" w:asciiTheme="minorEastAsia" w:hAnsiTheme="minorEastAsia" w:eastAsiaTheme="minorEastAsia"/>
                <w:szCs w:val="21"/>
              </w:rPr>
              <w:t>管理手册，发布时间：</w:t>
            </w:r>
            <w:r>
              <w:rPr>
                <w:rFonts w:cs="宋体" w:asciiTheme="minorEastAsia" w:hAnsiTheme="minorEastAsia" w:eastAsiaTheme="minorEastAsia"/>
                <w:szCs w:val="21"/>
              </w:rPr>
              <w:t>20</w:t>
            </w:r>
            <w:r>
              <w:rPr>
                <w:rFonts w:hint="eastAsia" w:cs="宋体" w:asciiTheme="minorEastAsia" w:hAnsiTheme="minorEastAsia" w:eastAsiaTheme="minorEastAsia"/>
                <w:szCs w:val="21"/>
              </w:rPr>
              <w:t>20</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6</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日</w:t>
            </w:r>
            <w:r>
              <w:rPr>
                <w:rFonts w:cs="宋体" w:asciiTheme="minorEastAsia" w:hAnsiTheme="minorEastAsia" w:eastAsiaTheme="minorEastAsia"/>
                <w:szCs w:val="21"/>
              </w:rPr>
              <w:t xml:space="preserve">  </w:t>
            </w:r>
          </w:p>
          <w:p>
            <w:pPr>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程序文件，包括标准要求的形成文件的信息。</w:t>
            </w:r>
          </w:p>
          <w:p>
            <w:pPr>
              <w:pStyle w:val="2"/>
              <w:tabs>
                <w:tab w:val="left" w:pos="3300"/>
                <w:tab w:val="left" w:pos="5160"/>
                <w:tab w:val="clear" w:pos="3510"/>
                <w:tab w:val="clear" w:pos="5580"/>
              </w:tabs>
              <w:rPr>
                <w:rFonts w:cs="宋体" w:asciiTheme="minorEastAsia" w:hAnsiTheme="minorEastAsia" w:eastAsiaTheme="minorEastAsia"/>
                <w:b w:val="0"/>
                <w:bCs w:val="0"/>
                <w:sz w:val="21"/>
                <w:szCs w:val="21"/>
              </w:rPr>
            </w:pPr>
            <w:r>
              <w:rPr>
                <w:rFonts w:cs="宋体" w:asciiTheme="minorEastAsia" w:hAnsiTheme="minorEastAsia" w:eastAsiaTheme="minorEastAsia"/>
                <w:b w:val="0"/>
                <w:bCs w:val="0"/>
                <w:sz w:val="21"/>
                <w:szCs w:val="21"/>
              </w:rPr>
              <w:t>3.</w:t>
            </w:r>
            <w:r>
              <w:rPr>
                <w:rFonts w:hint="eastAsia" w:cs="宋体" w:asciiTheme="minorEastAsia" w:hAnsiTheme="minorEastAsia" w:eastAsiaTheme="minorEastAsia"/>
                <w:b w:val="0"/>
                <w:bCs w:val="0"/>
                <w:sz w:val="21"/>
                <w:szCs w:val="21"/>
              </w:rPr>
              <w:t>管理制度汇编</w:t>
            </w:r>
          </w:p>
          <w:p>
            <w:pPr>
              <w:ind w:firstLine="420" w:firstLineChars="200"/>
              <w:rPr>
                <w:rFonts w:asciiTheme="minorEastAsia" w:hAnsiTheme="minorEastAsia" w:eastAsiaTheme="minorEastAsia"/>
              </w:rPr>
            </w:pPr>
            <w:r>
              <w:rPr>
                <w:rFonts w:hint="eastAsia" w:cs="宋体" w:asciiTheme="minorEastAsia" w:hAnsiTheme="minorEastAsia" w:eastAsiaTheme="minorEastAsia"/>
                <w:szCs w:val="21"/>
              </w:rPr>
              <w:t>包括</w:t>
            </w:r>
            <w:r>
              <w:rPr>
                <w:rFonts w:hint="eastAsia" w:cs="宋体" w:asciiTheme="minorEastAsia" w:hAnsiTheme="minorEastAsia" w:eastAsiaTheme="minorEastAsia"/>
                <w:szCs w:val="21"/>
                <w:lang w:val="en-US" w:eastAsia="zh-CN"/>
              </w:rPr>
              <w:t>安全生产规章</w:t>
            </w:r>
            <w:r>
              <w:rPr>
                <w:rFonts w:hint="eastAsia" w:cs="宋体" w:asciiTheme="minorEastAsia" w:hAnsiTheme="minorEastAsia" w:eastAsiaTheme="minorEastAsia"/>
                <w:szCs w:val="21"/>
              </w:rPr>
              <w:t>制度、</w:t>
            </w:r>
            <w:r>
              <w:rPr>
                <w:rFonts w:hint="eastAsia" w:cs="宋体" w:asciiTheme="minorEastAsia" w:hAnsiTheme="minorEastAsia" w:eastAsiaTheme="minorEastAsia"/>
                <w:szCs w:val="21"/>
                <w:lang w:val="en-US" w:eastAsia="zh-CN"/>
              </w:rPr>
              <w:t>安全生产操作流程</w:t>
            </w:r>
            <w:r>
              <w:rPr>
                <w:rFonts w:hint="eastAsia" w:asciiTheme="minorEastAsia" w:hAnsiTheme="minorEastAsia" w:eastAsiaTheme="minorEastAsia"/>
              </w:rPr>
              <w:t>等。</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体系运行所需要的文件和记录</w:t>
            </w:r>
          </w:p>
          <w:p>
            <w:pPr>
              <w:ind w:firstLine="420" w:firstLineChars="200"/>
              <w:rPr>
                <w:rFonts w:asciiTheme="minorEastAsia" w:hAnsiTheme="minorEastAsia" w:eastAsiaTheme="minorEastAsia"/>
              </w:rPr>
            </w:pPr>
            <w:r>
              <w:rPr>
                <w:rFonts w:hint="eastAsia" w:asciiTheme="minorEastAsia" w:hAnsiTheme="minorEastAsia" w:eastAsiaTheme="minorEastAsia"/>
              </w:rPr>
              <w:t>编制了《文件控制程序》，用于对管理体系文件，符合标准要求。</w:t>
            </w:r>
          </w:p>
          <w:p>
            <w:pPr>
              <w:ind w:firstLine="420" w:firstLineChars="200"/>
              <w:rPr>
                <w:rFonts w:asciiTheme="minorEastAsia" w:hAnsiTheme="minorEastAsia" w:eastAsiaTheme="minorEastAsia"/>
              </w:rPr>
            </w:pPr>
            <w:r>
              <w:rPr>
                <w:rFonts w:hint="eastAsia" w:asciiTheme="minorEastAsia" w:hAnsiTheme="minorEastAsia" w:eastAsiaTheme="minorEastAsia"/>
              </w:rPr>
              <w:t>查</w:t>
            </w:r>
            <w:r>
              <w:rPr>
                <w:rFonts w:hint="eastAsia" w:asciiTheme="minorEastAsia" w:hAnsiTheme="minorEastAsia" w:eastAsiaTheme="minorEastAsia"/>
                <w:lang w:eastAsia="zh-CN"/>
              </w:rPr>
              <w:t>管理部</w:t>
            </w:r>
            <w:r>
              <w:rPr>
                <w:rFonts w:hint="eastAsia" w:asciiTheme="minorEastAsia" w:hAnsiTheme="minorEastAsia" w:eastAsiaTheme="minorEastAsia"/>
              </w:rPr>
              <w:t>管理手册、管理制度等文件均保管良好，为有效版本，有受控标识。</w:t>
            </w:r>
          </w:p>
          <w:p>
            <w:pPr>
              <w:ind w:firstLine="420" w:firstLineChars="200"/>
              <w:rPr>
                <w:rFonts w:asciiTheme="minorEastAsia" w:hAnsiTheme="minorEastAsia" w:eastAsiaTheme="minorEastAsia"/>
              </w:rPr>
            </w:pPr>
            <w:r>
              <w:rPr>
                <w:rFonts w:hint="eastAsia" w:asciiTheme="minorEastAsia" w:hAnsiTheme="minorEastAsia" w:eastAsiaTheme="minorEastAsia"/>
                <w:lang w:eastAsia="zh-CN"/>
              </w:rPr>
              <w:t>管理部</w:t>
            </w:r>
            <w:r>
              <w:rPr>
                <w:rFonts w:hint="eastAsia" w:asciiTheme="minorEastAsia" w:hAnsiTheme="minorEastAsia" w:eastAsiaTheme="minorEastAsia"/>
              </w:rPr>
              <w:t>负责收集有关产品的国家标准、行业标准的最新版本，分发到相关部门使用；收回旧标准。</w:t>
            </w:r>
          </w:p>
          <w:p>
            <w:pPr>
              <w:ind w:firstLine="420" w:firstLineChars="200"/>
              <w:rPr>
                <w:rFonts w:asciiTheme="minorEastAsia" w:hAnsiTheme="minorEastAsia" w:eastAsiaTheme="minorEastAsia"/>
              </w:rPr>
            </w:pPr>
            <w:r>
              <w:rPr>
                <w:rFonts w:hint="eastAsia" w:asciiTheme="minorEastAsia" w:hAnsiTheme="minorEastAsia" w:eastAsiaTheme="minorEastAsia"/>
              </w:rPr>
              <w:t>查见《法律法规清单》，内容包括：序号、文件名称、编号、版本等，收集基本全面，基本符合。</w:t>
            </w:r>
          </w:p>
          <w:p>
            <w:pPr>
              <w:rPr>
                <w:rFonts w:asciiTheme="minorEastAsia" w:hAnsiTheme="minorEastAsia" w:eastAsiaTheme="minorEastAsia"/>
              </w:rPr>
            </w:pPr>
            <w:r>
              <w:rPr>
                <w:rFonts w:hint="eastAsia" w:asciiTheme="minorEastAsia" w:hAnsiTheme="minorEastAsia" w:eastAsiaTheme="minorEastAsia"/>
              </w:rPr>
              <w:t>以上外来文件保管良好，均为有效版本。</w:t>
            </w:r>
          </w:p>
          <w:p>
            <w:pPr>
              <w:ind w:firstLine="420" w:firstLineChars="200"/>
              <w:rPr>
                <w:rFonts w:asciiTheme="minorEastAsia" w:hAnsiTheme="minorEastAsia" w:eastAsiaTheme="minorEastAsia"/>
              </w:rPr>
            </w:pPr>
            <w:r>
              <w:rPr>
                <w:rFonts w:hint="eastAsia" w:asciiTheme="minorEastAsia" w:hAnsiTheme="minorEastAsia" w:eastAsiaTheme="minorEastAsi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宋体" w:asciiTheme="minorEastAsia" w:hAnsiTheme="minorEastAsia" w:eastAsiaTheme="minorEastAsia"/>
                <w:szCs w:val="21"/>
              </w:rPr>
              <w:t>上岗前经过岗前培训，销售人员及生产、检验人员均经过专业培训</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新进员工进行三级安全教育</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楷体" w:hAnsi="楷体" w:eastAsia="楷体"/>
                <w:sz w:val="24"/>
              </w:rPr>
              <w:t>审</w:t>
            </w:r>
            <w:r>
              <w:rPr>
                <w:rFonts w:hint="eastAsia" w:cs="宋体" w:asciiTheme="minorEastAsia" w:hAnsiTheme="minorEastAsia" w:eastAsiaTheme="minorEastAsia"/>
                <w:color w:val="auto"/>
                <w:kern w:val="2"/>
                <w:sz w:val="21"/>
                <w:szCs w:val="21"/>
                <w:lang w:val="en-US" w:eastAsia="zh-CN" w:bidi="ar-SA"/>
              </w:rPr>
              <w:t>核现场发现企业叉车、行车、升降机的在有效期内。未提供储气罐安全阀的检验证书</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9"/>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观察办公区、生产车间环境卫生管理，工作场所布局合理，温湿度适宜，照明良好，满足办公和生产需求。经与主管人员交谈，其对本部门在本条款管理中的职责、分工和接口关系清楚掌握，基本符合文件要求。</w:t>
            </w:r>
          </w:p>
          <w:p>
            <w:pPr>
              <w:pStyle w:val="9"/>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公司定期举行旅游活动、体检，带薪休假等，已缓解员工的心理压力、过度疲劳等。</w:t>
            </w:r>
          </w:p>
          <w:p>
            <w:pPr>
              <w:pStyle w:val="9"/>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公司观察，公司办公场所和生产场所均环境良好，满足办公需要，无特殊环境要求。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未提供压力表的检定合格。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420" w:firstLineChars="200"/>
              <w:rPr>
                <w:rFonts w:asciiTheme="minorEastAsia" w:hAnsiTheme="minorEastAsia" w:eastAsiaTheme="minorEastAsia"/>
                <w:szCs w:val="22"/>
              </w:rPr>
            </w:pPr>
            <w:r>
              <w:rPr>
                <w:rFonts w:hint="eastAsia" w:asciiTheme="minorEastAsia" w:hAnsiTheme="minorEastAsia" w:eastAsiaTheme="minorEastAsia"/>
                <w:szCs w:val="22"/>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b/>
                <w:color w:val="000000" w:themeColor="text1"/>
                <w:sz w:val="20"/>
                <w:szCs w:val="20"/>
              </w:rPr>
            </w:pPr>
          </w:p>
          <w:p>
            <w:pPr>
              <w:spacing w:line="240" w:lineRule="exact"/>
              <w:rPr>
                <w:rFonts w:ascii="宋体" w:hAnsi="宋体"/>
                <w:b/>
                <w:color w:val="000000" w:themeColor="text1"/>
                <w:sz w:val="20"/>
                <w:szCs w:val="20"/>
              </w:rPr>
            </w:pPr>
            <w:r>
              <w:rPr>
                <w:rFonts w:hint="eastAsia" w:cs="宋体" w:asciiTheme="minorEastAsia" w:hAnsiTheme="minorEastAsia" w:eastAsiaTheme="minorEastAsia"/>
                <w:bCs/>
                <w:szCs w:val="21"/>
                <w:lang w:val="en-US" w:eastAsia="zh-CN"/>
              </w:rPr>
              <w:t>公司发放</w:t>
            </w:r>
            <w:r>
              <w:rPr>
                <w:rFonts w:hint="eastAsia" w:cs="宋体" w:asciiTheme="minorEastAsia" w:hAnsiTheme="minorEastAsia" w:eastAsiaTheme="minorEastAsia"/>
                <w:bCs/>
                <w:szCs w:val="21"/>
              </w:rPr>
              <w:t>劳保用品</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lang w:val="en-US" w:eastAsia="zh-CN"/>
              </w:rPr>
              <w:t>耳塞、口罩等</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lang w:val="en-US" w:eastAsia="zh-CN"/>
              </w:rPr>
              <w:t>配置</w:t>
            </w:r>
            <w:r>
              <w:rPr>
                <w:rFonts w:hint="eastAsia" w:cs="宋体" w:asciiTheme="minorEastAsia" w:hAnsiTheme="minorEastAsia" w:eastAsiaTheme="minorEastAsia"/>
                <w:bCs/>
                <w:szCs w:val="21"/>
              </w:rPr>
              <w:t>消防器材、标识牌</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lang w:val="en-US" w:eastAsia="zh-CN"/>
              </w:rPr>
              <w:t>车间有空气净化收集装置和袋式除尘设施；配电房、配电柜装、危化品仓库装有锁等。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b/>
                <w:color w:val="000000" w:themeColor="text1"/>
                <w:sz w:val="20"/>
                <w:szCs w:val="20"/>
              </w:rPr>
            </w:pP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总经理负责在公司建立畅通的沟通渠道。管理者代表是公司内部和外部信息交流和沟通的负责人。</w:t>
            </w:r>
            <w:r>
              <w:rPr>
                <w:rFonts w:hint="eastAsia" w:cs="宋体" w:asciiTheme="minorEastAsia" w:hAnsiTheme="minorEastAsia" w:eastAsiaTheme="minorEastAsia"/>
                <w:szCs w:val="21"/>
                <w:lang w:eastAsia="zh-CN"/>
              </w:rPr>
              <w:t>管理部</w:t>
            </w:r>
            <w:r>
              <w:rPr>
                <w:rFonts w:hint="eastAsia" w:cs="宋体" w:asciiTheme="minorEastAsia" w:hAnsiTheme="minorEastAsia" w:eastAsiaTheme="minorEastAsia"/>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目前各项沟通都较为及时、顺畅、效果较好。</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经全体员工大会选举，任命公司张伟峰、方美平为公司安全事务代表。经与张伟峰、方美平交谈</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Theme="minorEastAsia" w:hAnsiTheme="minorEastAsia" w:eastAsiaTheme="minorEastAsia"/>
                <w:b/>
                <w:color w:val="000000"/>
                <w:sz w:val="20"/>
                <w:szCs w:val="20"/>
              </w:rPr>
            </w:pPr>
            <w:r>
              <w:rPr>
                <w:rFonts w:hint="eastAsia" w:cs="宋体" w:asciiTheme="minorEastAsia" w:hAnsiTheme="minorEastAsia" w:eastAsiaTheme="minorEastAsia"/>
                <w:szCs w:val="21"/>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snapToGrid w:val="0"/>
              <w:spacing w:line="360" w:lineRule="auto"/>
              <w:ind w:firstLine="420" w:firstLineChars="200"/>
              <w:rPr>
                <w:rFonts w:ascii="宋体" w:hAnsi="宋体"/>
                <w:szCs w:val="22"/>
                <w:u w:val="single"/>
              </w:rPr>
            </w:pPr>
            <w:r>
              <w:rPr>
                <w:rFonts w:hint="eastAsia" w:ascii="宋体" w:hAnsi="宋体"/>
                <w:szCs w:val="22"/>
                <w:u w:val="single"/>
              </w:rPr>
              <w:t>涉及到的重大危险源主要是：职业病伤害</w:t>
            </w:r>
            <w:r>
              <w:rPr>
                <w:rFonts w:hint="eastAsia" w:ascii="宋体" w:hAnsi="宋体"/>
                <w:szCs w:val="22"/>
                <w:u w:val="single"/>
                <w:lang w:val="en-US" w:eastAsia="zh-CN"/>
              </w:rPr>
              <w:t>(化学有害物质、粉尘、噪声)</w:t>
            </w:r>
            <w:r>
              <w:rPr>
                <w:rFonts w:hint="eastAsia" w:ascii="宋体" w:hAnsi="宋体"/>
                <w:szCs w:val="22"/>
                <w:u w:val="single"/>
              </w:rPr>
              <w:t>、触电、机械伤害、火灾、爆炸等。</w:t>
            </w:r>
          </w:p>
          <w:p>
            <w:pPr>
              <w:spacing w:line="240" w:lineRule="exact"/>
              <w:ind w:firstLine="421"/>
              <w:rPr>
                <w:rFonts w:hint="eastAsia" w:ascii="宋体" w:hAnsi="宋体"/>
                <w:szCs w:val="22"/>
                <w:u w:val="single"/>
              </w:rPr>
            </w:pPr>
            <w:r>
              <w:rPr>
                <w:rFonts w:hint="eastAsia" w:ascii="宋体" w:hAnsi="宋体"/>
                <w:szCs w:val="22"/>
                <w:u w:val="single"/>
              </w:rPr>
              <w:t>1、潜在火灾管控：</w:t>
            </w:r>
          </w:p>
          <w:p>
            <w:pPr>
              <w:spacing w:line="240" w:lineRule="exact"/>
              <w:ind w:firstLine="421"/>
              <w:rPr>
                <w:rFonts w:hint="eastAsia" w:ascii="宋体" w:hAnsi="宋体"/>
                <w:szCs w:val="22"/>
                <w:u w:val="single"/>
              </w:rPr>
            </w:pPr>
            <w:r>
              <w:rPr>
                <w:rFonts w:hint="eastAsia" w:ascii="宋体" w:hAnsi="宋体"/>
                <w:szCs w:val="22"/>
                <w:u w:val="single"/>
              </w:rPr>
              <w:t>公司车间、仓库、办公楼配备了消防栓和灭火器，状态有效。</w:t>
            </w:r>
          </w:p>
          <w:p>
            <w:pPr>
              <w:spacing w:line="240" w:lineRule="exact"/>
              <w:ind w:firstLine="421"/>
              <w:rPr>
                <w:rFonts w:hint="eastAsia" w:ascii="宋体" w:hAnsi="宋体"/>
                <w:szCs w:val="22"/>
                <w:u w:val="single"/>
              </w:rPr>
            </w:pPr>
            <w:r>
              <w:rPr>
                <w:rFonts w:hint="eastAsia" w:ascii="宋体" w:hAnsi="宋体"/>
                <w:szCs w:val="22"/>
                <w:u w:val="single"/>
              </w:rPr>
              <w:t>2、安全防护：</w:t>
            </w:r>
          </w:p>
          <w:p>
            <w:pPr>
              <w:spacing w:line="240" w:lineRule="exact"/>
              <w:ind w:firstLine="421"/>
              <w:rPr>
                <w:rFonts w:hint="eastAsia" w:ascii="宋体" w:hAnsi="宋体"/>
                <w:szCs w:val="22"/>
                <w:u w:val="single"/>
              </w:rPr>
            </w:pPr>
            <w:r>
              <w:rPr>
                <w:rFonts w:hint="eastAsia" w:ascii="宋体" w:hAnsi="宋体"/>
                <w:szCs w:val="22"/>
                <w:u w:val="single"/>
                <w:lang w:val="en-US" w:eastAsia="zh-CN"/>
              </w:rPr>
              <w:t>3、</w:t>
            </w:r>
            <w:r>
              <w:rPr>
                <w:rFonts w:hint="eastAsia" w:ascii="宋体" w:hAnsi="宋体"/>
                <w:szCs w:val="22"/>
                <w:u w:val="single"/>
              </w:rPr>
              <w:t>公司给员工发放手套、口罩</w:t>
            </w:r>
            <w:r>
              <w:rPr>
                <w:rFonts w:hint="eastAsia" w:ascii="宋体" w:hAnsi="宋体"/>
                <w:szCs w:val="22"/>
                <w:u w:val="single"/>
                <w:lang w:eastAsia="zh-CN"/>
              </w:rPr>
              <w:t>、</w:t>
            </w:r>
            <w:r>
              <w:rPr>
                <w:rFonts w:hint="eastAsia" w:ascii="宋体" w:hAnsi="宋体"/>
                <w:szCs w:val="22"/>
                <w:u w:val="single"/>
              </w:rPr>
              <w:t>工作服等劳保用品，电线布线合理，漏电保护器状态良好。</w:t>
            </w:r>
          </w:p>
          <w:p>
            <w:pPr>
              <w:spacing w:line="240" w:lineRule="exact"/>
              <w:ind w:firstLine="421"/>
              <w:rPr>
                <w:rFonts w:hint="eastAsia" w:ascii="宋体" w:hAnsi="宋体"/>
                <w:szCs w:val="22"/>
                <w:u w:val="single"/>
              </w:rPr>
            </w:pPr>
            <w:r>
              <w:rPr>
                <w:rFonts w:hint="eastAsia" w:ascii="宋体" w:hAnsi="宋体"/>
                <w:szCs w:val="22"/>
                <w:u w:val="single"/>
                <w:lang w:val="en-US" w:eastAsia="zh-CN"/>
              </w:rPr>
              <w:t>4、</w:t>
            </w:r>
            <w:r>
              <w:rPr>
                <w:rFonts w:hint="eastAsia" w:ascii="宋体" w:hAnsi="宋体"/>
                <w:szCs w:val="22"/>
                <w:u w:val="single"/>
              </w:rPr>
              <w:t>为主要长期员工上社保、工伤保险，安排健康体检。</w:t>
            </w:r>
          </w:p>
          <w:p>
            <w:pPr>
              <w:spacing w:line="240" w:lineRule="exact"/>
              <w:ind w:firstLine="421"/>
              <w:rPr>
                <w:rFonts w:hint="eastAsia" w:ascii="宋体" w:hAnsi="宋体"/>
                <w:szCs w:val="22"/>
                <w:u w:val="single"/>
              </w:rPr>
            </w:pPr>
            <w:r>
              <w:rPr>
                <w:rFonts w:hint="eastAsia" w:ascii="宋体" w:hAnsi="宋体"/>
                <w:szCs w:val="22"/>
                <w:u w:val="single"/>
                <w:lang w:val="en-US" w:eastAsia="zh-CN"/>
              </w:rPr>
              <w:t>5、空压机房的储气罐、安全阀、压力表及时送检；配电房配有防鼠板、绝缘设施；</w:t>
            </w:r>
          </w:p>
          <w:p>
            <w:pPr>
              <w:spacing w:line="240" w:lineRule="exact"/>
              <w:ind w:firstLine="421"/>
              <w:rPr>
                <w:rFonts w:hint="eastAsia" w:ascii="宋体" w:hAnsi="宋体"/>
                <w:szCs w:val="22"/>
                <w:u w:val="single"/>
              </w:rPr>
            </w:pPr>
            <w:r>
              <w:rPr>
                <w:rFonts w:hint="eastAsia" w:ascii="宋体" w:hAnsi="宋体"/>
                <w:szCs w:val="22"/>
                <w:u w:val="single"/>
                <w:lang w:val="en-US" w:eastAsia="zh-CN"/>
              </w:rPr>
              <w:t>6</w:t>
            </w:r>
            <w:r>
              <w:rPr>
                <w:rFonts w:hint="eastAsia" w:ascii="宋体" w:hAnsi="宋体"/>
                <w:szCs w:val="22"/>
                <w:u w:val="single"/>
              </w:rPr>
              <w:t>、为职业健康安全管理体系运行提供了财务支持。</w:t>
            </w:r>
          </w:p>
          <w:p>
            <w:pPr>
              <w:spacing w:line="240" w:lineRule="exact"/>
              <w:ind w:firstLine="421"/>
              <w:rPr>
                <w:rFonts w:hint="eastAsia" w:ascii="宋体" w:hAnsi="宋体"/>
                <w:szCs w:val="22"/>
                <w:u w:val="single"/>
              </w:rPr>
            </w:pPr>
            <w:r>
              <w:rPr>
                <w:rFonts w:hint="eastAsia" w:ascii="宋体" w:hAnsi="宋体"/>
                <w:szCs w:val="22"/>
                <w:u w:val="single"/>
                <w:lang w:val="en-US" w:eastAsia="zh-CN"/>
              </w:rPr>
              <w:t>7</w:t>
            </w:r>
            <w:r>
              <w:rPr>
                <w:rFonts w:hint="eastAsia" w:ascii="宋体" w:hAnsi="宋体"/>
                <w:szCs w:val="22"/>
                <w:u w:val="single"/>
              </w:rPr>
              <w:t>、员工饮用水为纯净水通过饮水机饮用。</w:t>
            </w:r>
          </w:p>
          <w:p>
            <w:pPr>
              <w:spacing w:line="240" w:lineRule="exact"/>
              <w:ind w:firstLine="421"/>
              <w:rPr>
                <w:rFonts w:hint="eastAsia" w:ascii="宋体" w:hAnsi="宋体"/>
                <w:szCs w:val="22"/>
                <w:u w:val="single"/>
                <w:lang w:eastAsia="zh-CN"/>
              </w:rPr>
            </w:pPr>
            <w:r>
              <w:rPr>
                <w:rFonts w:hint="eastAsia" w:ascii="宋体" w:hAnsi="宋体"/>
                <w:szCs w:val="22"/>
                <w:u w:val="single"/>
                <w:lang w:val="en-US" w:eastAsia="zh-CN"/>
              </w:rPr>
              <w:t>8</w:t>
            </w:r>
            <w:r>
              <w:rPr>
                <w:rFonts w:hint="eastAsia" w:ascii="宋体" w:hAnsi="宋体"/>
                <w:szCs w:val="22"/>
                <w:u w:val="single"/>
              </w:rPr>
              <w:t>、设备运转部位有防护罩</w:t>
            </w:r>
            <w:r>
              <w:rPr>
                <w:rFonts w:hint="eastAsia" w:ascii="宋体" w:hAnsi="宋体"/>
                <w:szCs w:val="22"/>
                <w:u w:val="single"/>
                <w:lang w:eastAsia="zh-CN"/>
              </w:rPr>
              <w:t>。</w:t>
            </w:r>
          </w:p>
          <w:p>
            <w:pPr>
              <w:spacing w:line="240" w:lineRule="exact"/>
              <w:ind w:firstLine="421"/>
              <w:rPr>
                <w:rFonts w:hint="default" w:ascii="宋体" w:hAnsi="宋体"/>
                <w:szCs w:val="22"/>
                <w:u w:val="single"/>
                <w:lang w:val="en-US" w:eastAsia="zh-CN"/>
              </w:rPr>
            </w:pPr>
            <w:r>
              <w:rPr>
                <w:rFonts w:hint="eastAsia" w:ascii="宋体" w:hAnsi="宋体"/>
                <w:szCs w:val="22"/>
                <w:u w:val="single"/>
                <w:lang w:val="en-US" w:eastAsia="zh-CN"/>
              </w:rPr>
              <w:t>加强项：危险废物仓库管理、机加工车间噪声管理、现场安全告知卡等安全标准管理结果与法规等要求存在不足；建议公司列为安全管理内部长期整改项。</w:t>
            </w:r>
          </w:p>
          <w:p>
            <w:pPr>
              <w:numPr>
                <w:ilvl w:val="0"/>
                <w:numId w:val="0"/>
              </w:numPr>
              <w:spacing w:line="240" w:lineRule="exact"/>
              <w:ind w:left="0" w:leftChars="0" w:firstLine="0" w:firstLine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ind w:firstLine="210" w:firstLineChars="100"/>
              <w:rPr>
                <w:rFonts w:hint="eastAsia" w:cs="宋体" w:asciiTheme="minorEastAsia" w:hAnsiTheme="minorEastAsia" w:eastAsiaTheme="minorEastAsia"/>
                <w:bCs/>
                <w:szCs w:val="21"/>
                <w:lang w:val="en-US" w:eastAsia="zh-CN"/>
              </w:rPr>
            </w:pPr>
            <w:r>
              <w:rPr>
                <w:rFonts w:hint="eastAsia" w:cs="宋体" w:asciiTheme="minorEastAsia" w:hAnsiTheme="minorEastAsia" w:eastAsiaTheme="minorEastAsia"/>
                <w:bCs/>
                <w:szCs w:val="21"/>
              </w:rPr>
              <w:t>负责人介绍，公司制定《应急准备和响应控制程序》、《应急预案》</w:t>
            </w:r>
            <w:r>
              <w:rPr>
                <w:rFonts w:hint="eastAsia" w:cs="宋体" w:asciiTheme="minorEastAsia" w:hAnsiTheme="minorEastAsia" w:eastAsiaTheme="minorEastAsia"/>
                <w:bCs/>
                <w:szCs w:val="21"/>
                <w:lang w:val="en-US" w:eastAsia="zh-CN"/>
              </w:rPr>
              <w:t>；</w:t>
            </w:r>
          </w:p>
          <w:p>
            <w:pPr>
              <w:rPr>
                <w:rFonts w:cs="宋体" w:asciiTheme="minorEastAsia" w:hAnsiTheme="minorEastAsia" w:eastAsiaTheme="minorEastAsia"/>
                <w:szCs w:val="21"/>
              </w:rPr>
            </w:pPr>
            <w:r>
              <w:rPr>
                <w:rFonts w:hint="eastAsia" w:cs="宋体" w:asciiTheme="minorEastAsia" w:hAnsiTheme="minorEastAsia" w:eastAsiaTheme="minorEastAsia"/>
                <w:bCs/>
                <w:szCs w:val="21"/>
              </w:rPr>
              <w:t>查见2020.</w:t>
            </w:r>
            <w:r>
              <w:rPr>
                <w:rFonts w:hint="eastAsia" w:cs="宋体" w:asciiTheme="minorEastAsia" w:hAnsiTheme="minorEastAsia" w:eastAsiaTheme="minorEastAsia"/>
                <w:bCs/>
                <w:szCs w:val="21"/>
                <w:lang w:val="en-US" w:eastAsia="zh-CN"/>
              </w:rPr>
              <w:t>11</w:t>
            </w:r>
            <w:r>
              <w:rPr>
                <w:rFonts w:hint="eastAsia" w:cs="宋体" w:asciiTheme="minorEastAsia" w:hAnsiTheme="minorEastAsia" w:eastAsiaTheme="minorEastAsia"/>
                <w:bCs/>
                <w:szCs w:val="21"/>
              </w:rPr>
              <w:t>.</w:t>
            </w:r>
            <w:r>
              <w:rPr>
                <w:rFonts w:hint="eastAsia" w:cs="宋体" w:asciiTheme="minorEastAsia" w:hAnsiTheme="minorEastAsia" w:eastAsiaTheme="minorEastAsia"/>
                <w:bCs/>
                <w:szCs w:val="21"/>
                <w:lang w:val="en-US" w:eastAsia="zh-CN"/>
              </w:rPr>
              <w:t>18</w:t>
            </w:r>
            <w:r>
              <w:rPr>
                <w:rFonts w:hint="eastAsia" w:cs="宋体" w:asciiTheme="minorEastAsia" w:hAnsiTheme="minorEastAsia" w:eastAsiaTheme="minorEastAsia"/>
                <w:bCs/>
                <w:szCs w:val="21"/>
              </w:rPr>
              <w:t>日的消防演练记录，</w:t>
            </w:r>
            <w:r>
              <w:rPr>
                <w:rFonts w:hint="eastAsia" w:cs="宋体" w:asciiTheme="minorEastAsia" w:hAnsiTheme="minorEastAsia" w:eastAsiaTheme="minorEastAsia"/>
                <w:szCs w:val="21"/>
              </w:rPr>
              <w:t>并在演练结束后进行了总结，应急预案有可操作性，应急人员基本掌握该方案，能够应对突发事件。</w:t>
            </w:r>
          </w:p>
          <w:p>
            <w:pPr>
              <w:spacing w:line="240" w:lineRule="exact"/>
              <w:rPr>
                <w:b/>
                <w:color w:val="000000" w:themeColor="text1"/>
                <w:spacing w:val="-4"/>
                <w:sz w:val="20"/>
                <w:szCs w:val="20"/>
              </w:rPr>
            </w:pPr>
            <w:r>
              <w:rPr>
                <w:rFonts w:hint="eastAsia" w:cs="宋体" w:asciiTheme="minorEastAsia" w:hAnsiTheme="minorEastAsia" w:eastAsia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auto"/>
                <w:sz w:val="20"/>
                <w:szCs w:val="20"/>
              </w:rPr>
            </w:pPr>
            <w:r>
              <w:rPr>
                <w:rFonts w:hint="eastAsia"/>
                <w:b/>
                <w:color w:val="auto"/>
                <w:sz w:val="20"/>
                <w:szCs w:val="20"/>
              </w:rPr>
              <w:t xml:space="preserve">10. 对特种设备的维护，检定; </w:t>
            </w:r>
          </w:p>
          <w:p>
            <w:pPr>
              <w:spacing w:line="240" w:lineRule="exact"/>
              <w:rPr>
                <w:b/>
                <w:color w:val="auto"/>
                <w:sz w:val="20"/>
                <w:szCs w:val="20"/>
              </w:rPr>
            </w:pPr>
          </w:p>
          <w:p>
            <w:pPr>
              <w:ind w:firstLine="420" w:firstLineChars="200"/>
              <w:rPr>
                <w:rFonts w:hint="eastAsia"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审核现场发现企业的</w:t>
            </w:r>
            <w:r>
              <w:rPr>
                <w:rFonts w:hint="eastAsia" w:cs="宋体" w:asciiTheme="minorEastAsia" w:hAnsiTheme="minorEastAsia" w:eastAsiaTheme="minorEastAsia"/>
                <w:bCs/>
                <w:color w:val="auto"/>
                <w:szCs w:val="21"/>
                <w:lang w:val="en-US" w:eastAsia="zh-CN"/>
              </w:rPr>
              <w:t>叉车2台</w:t>
            </w:r>
            <w:r>
              <w:rPr>
                <w:rFonts w:hint="eastAsia" w:cs="宋体" w:asciiTheme="minorEastAsia" w:hAnsiTheme="minorEastAsia" w:eastAsiaTheme="minorEastAsia"/>
                <w:bCs/>
                <w:color w:val="auto"/>
                <w:szCs w:val="21"/>
              </w:rPr>
              <w:t>，</w:t>
            </w:r>
            <w:r>
              <w:rPr>
                <w:rFonts w:hint="eastAsia" w:cs="宋体" w:asciiTheme="minorEastAsia" w:hAnsiTheme="minorEastAsia" w:eastAsiaTheme="minorEastAsia"/>
                <w:bCs/>
                <w:color w:val="auto"/>
                <w:szCs w:val="21"/>
                <w:lang w:val="en-US" w:eastAsia="zh-CN"/>
              </w:rPr>
              <w:t>10T行车一台；升降机2台；提供检验报告 ；</w:t>
            </w:r>
            <w:r>
              <w:rPr>
                <w:rFonts w:hint="eastAsia" w:cs="宋体" w:asciiTheme="minorEastAsia" w:hAnsiTheme="minorEastAsia" w:eastAsiaTheme="minorEastAsia"/>
                <w:bCs/>
                <w:color w:val="auto"/>
                <w:szCs w:val="21"/>
              </w:rPr>
              <w:t>储气罐</w:t>
            </w:r>
            <w:r>
              <w:rPr>
                <w:rFonts w:hint="eastAsia" w:cs="宋体" w:asciiTheme="minorEastAsia" w:hAnsiTheme="minorEastAsia" w:eastAsiaTheme="minorEastAsia"/>
                <w:bCs/>
                <w:color w:val="auto"/>
                <w:szCs w:val="21"/>
                <w:lang w:val="en-US" w:eastAsia="zh-CN"/>
              </w:rPr>
              <w:t>1个</w:t>
            </w:r>
            <w:r>
              <w:rPr>
                <w:rFonts w:hint="eastAsia" w:cs="宋体" w:asciiTheme="minorEastAsia" w:hAnsiTheme="minorEastAsia" w:eastAsiaTheme="minorEastAsia"/>
                <w:bCs/>
                <w:color w:val="auto"/>
                <w:szCs w:val="21"/>
              </w:rPr>
              <w:t>。</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auto"/>
                <w:sz w:val="20"/>
                <w:szCs w:val="20"/>
              </w:rPr>
            </w:pPr>
            <w:r>
              <w:rPr>
                <w:rFonts w:hint="eastAsia"/>
                <w:b/>
                <w:color w:val="auto"/>
                <w:sz w:val="20"/>
                <w:szCs w:val="20"/>
              </w:rPr>
              <w:t>11 .对危险化学品销售、使用、储存、运输处置，规定的执行力度(必要时);</w:t>
            </w:r>
          </w:p>
          <w:p>
            <w:pPr>
              <w:spacing w:line="240" w:lineRule="exact"/>
              <w:rPr>
                <w:rFonts w:hint="default"/>
                <w:b/>
                <w:color w:val="auto"/>
                <w:sz w:val="20"/>
                <w:szCs w:val="20"/>
                <w:lang w:val="en-US"/>
              </w:rPr>
            </w:pPr>
            <w:r>
              <w:rPr>
                <w:rFonts w:hint="eastAsia"/>
                <w:b/>
                <w:color w:val="auto"/>
                <w:sz w:val="20"/>
                <w:szCs w:val="20"/>
                <w:lang w:val="en-US" w:eastAsia="zh-CN"/>
              </w:rPr>
              <w:t xml:space="preserve">   </w:t>
            </w:r>
            <w:r>
              <w:rPr>
                <w:rFonts w:hint="eastAsia" w:cs="宋体" w:asciiTheme="minorEastAsia" w:hAnsiTheme="minorEastAsia" w:eastAsiaTheme="minorEastAsia"/>
                <w:bCs/>
                <w:color w:val="auto"/>
                <w:szCs w:val="21"/>
                <w:lang w:val="en-US" w:eastAsia="zh-CN"/>
              </w:rPr>
              <w:t>配有油漆和危废化学品仓库，有进出登记台账和处置联单，保存于办公场所；未识别储存物品和告知标识，开出不符合项。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10" w:firstLineChars="1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b/>
                <w:color w:val="000000" w:themeColor="text1"/>
                <w:sz w:val="20"/>
                <w:szCs w:val="20"/>
              </w:rPr>
            </w:pPr>
            <w:r>
              <w:rPr>
                <w:rFonts w:hint="eastAsia" w:cs="宋体" w:asciiTheme="minorEastAsia" w:hAnsiTheme="minorEastAsia" w:eastAsiaTheme="minorEastAsia"/>
                <w:color w:val="000000"/>
                <w:szCs w:val="21"/>
              </w:rPr>
              <w:t>提供了公司职业健康安全管理体系运行情况报告，包括运行过程控制、供方业绩评定、体系运行绩效情况等方面的汇总分析，工作成果符合预期效果，提出继续保持建议</w:t>
            </w:r>
            <w:r>
              <w:rPr>
                <w:rFonts w:cs="宋体"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Theme="minorEastAsia" w:hAnsiTheme="minorEastAsia" w:eastAsiaTheme="minorEastAsia"/>
              </w:rPr>
            </w:pPr>
            <w:r>
              <w:rPr>
                <w:rFonts w:hint="eastAsia" w:asciiTheme="minorEastAsia" w:hAnsiTheme="minorEastAsia" w:eastAsiaTheme="minorEastAsia"/>
              </w:rPr>
              <w:t>公司制定《内部审核控制程序》，对内部审核方案策划规定：</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频次：内审每年进行一次，两次内部审核的时间间隔不超过</w:t>
            </w:r>
            <w:r>
              <w:rPr>
                <w:rFonts w:asciiTheme="minorEastAsia" w:hAnsiTheme="minorEastAsia" w:eastAsiaTheme="minorEastAsia"/>
              </w:rPr>
              <w:t>12</w:t>
            </w:r>
            <w:r>
              <w:rPr>
                <w:rFonts w:hint="eastAsia" w:asciiTheme="minorEastAsia" w:hAnsiTheme="minorEastAsia" w:eastAsiaTheme="minorEastAsia"/>
              </w:rPr>
              <w:t>个月。</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方法：按部门</w:t>
            </w:r>
            <w:r>
              <w:rPr>
                <w:rFonts w:asciiTheme="minorEastAsia" w:hAnsiTheme="minorEastAsia" w:eastAsiaTheme="minorEastAsia"/>
              </w:rPr>
              <w:t>/</w:t>
            </w:r>
            <w:r>
              <w:rPr>
                <w:rFonts w:hint="eastAsia" w:asciiTheme="minorEastAsia" w:hAnsiTheme="minorEastAsia" w:eastAsiaTheme="minorEastAsia"/>
              </w:rPr>
              <w:t>过程审核。</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职责：体系负责人组织内部审核活动。</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策划要求：范围、准则、工作分配等。</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报告：体系负责人在内部审核结束及纠正措施完成后应向总经理报告审核结果。</w:t>
            </w:r>
          </w:p>
          <w:p>
            <w:pPr>
              <w:rPr>
                <w:rFonts w:asciiTheme="minorEastAsia" w:hAnsiTheme="minorEastAsia" w:eastAsiaTheme="minorEastAsia"/>
                <w:szCs w:val="21"/>
              </w:rPr>
            </w:pPr>
            <w:r>
              <w:rPr>
                <w:rFonts w:asciiTheme="minorEastAsia" w:hAnsiTheme="minorEastAsia" w:eastAsiaTheme="minorEastAsia"/>
              </w:rPr>
              <w:t>6.</w:t>
            </w:r>
            <w:r>
              <w:rPr>
                <w:rFonts w:hint="eastAsia" w:asciiTheme="minorEastAsia" w:hAnsiTheme="minorEastAsia" w:eastAsiaTheme="minorEastAsia"/>
              </w:rPr>
              <w:t>提供了《内部审核实施计划》，发布了内部管理体系审核通知，计划内容有：目的、范围、审核准则、审核时间</w:t>
            </w:r>
            <w:r>
              <w:rPr>
                <w:rFonts w:asciiTheme="minorEastAsia" w:hAnsiTheme="minorEastAsia" w:eastAsiaTheme="minorEastAsia"/>
              </w:rPr>
              <w:t>20</w:t>
            </w:r>
            <w:r>
              <w:rPr>
                <w:rFonts w:hint="eastAsia" w:asciiTheme="minorEastAsia" w:hAnsiTheme="minorEastAsia" w:eastAsiaTheme="minorEastAsia"/>
              </w:rPr>
              <w:t>20年</w:t>
            </w:r>
            <w:r>
              <w:rPr>
                <w:rFonts w:hint="eastAsia" w:asciiTheme="minorEastAsia" w:hAnsiTheme="minorEastAsia" w:eastAsiaTheme="minorEastAsia"/>
                <w:lang w:val="en-US" w:eastAsia="zh-CN"/>
              </w:rPr>
              <w:t>12</w:t>
            </w:r>
            <w:r>
              <w:rPr>
                <w:rFonts w:hint="eastAsia" w:asciiTheme="minorEastAsia" w:hAnsiTheme="minorEastAsia" w:eastAsiaTheme="minorEastAsia"/>
              </w:rPr>
              <w:t>月</w:t>
            </w:r>
            <w:r>
              <w:rPr>
                <w:rFonts w:hint="eastAsia" w:asciiTheme="minorEastAsia" w:hAnsiTheme="minorEastAsia" w:eastAsiaTheme="minorEastAsia"/>
                <w:lang w:val="en-US" w:eastAsia="zh-CN"/>
              </w:rPr>
              <w:t>10-11</w:t>
            </w:r>
            <w:r>
              <w:rPr>
                <w:rFonts w:hint="eastAsia" w:asciiTheme="minorEastAsia" w:hAnsiTheme="minorEastAsia" w:eastAsiaTheme="minorEastAsia"/>
              </w:rPr>
              <w:t>日。</w:t>
            </w:r>
          </w:p>
          <w:p>
            <w:pPr>
              <w:rPr>
                <w:rFonts w:asciiTheme="minorEastAsia" w:hAnsiTheme="minorEastAsia" w:eastAsiaTheme="minorEastAsia"/>
              </w:rPr>
            </w:pPr>
            <w:r>
              <w:rPr>
                <w:rFonts w:asciiTheme="minorEastAsia" w:hAnsiTheme="minorEastAsia" w:eastAsiaTheme="minorEastAsia"/>
                <w:szCs w:val="21"/>
              </w:rPr>
              <w:t>7</w:t>
            </w:r>
            <w:r>
              <w:rPr>
                <w:rFonts w:asciiTheme="minorEastAsia" w:hAnsiTheme="minorEastAsia" w:eastAsiaTheme="minorEastAsia"/>
              </w:rPr>
              <w:t>.</w:t>
            </w:r>
            <w:r>
              <w:rPr>
                <w:rFonts w:hint="eastAsia" w:asciiTheme="minorEastAsia" w:hAnsiTheme="minorEastAsia" w:eastAsiaTheme="minorEastAsia"/>
              </w:rPr>
              <w:t>提供了《内审检查表》，经查阅对照，受审核部门涉及条款与公司管理体系职责分配相一致。审核记录基本满足要求。</w:t>
            </w:r>
          </w:p>
          <w:p>
            <w:pPr>
              <w:spacing w:line="360" w:lineRule="exac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提供了《内审不合格报告》针对发现的</w:t>
            </w:r>
            <w:r>
              <w:rPr>
                <w:rFonts w:hint="eastAsia" w:asciiTheme="minorEastAsia" w:hAnsiTheme="minorEastAsia" w:eastAsiaTheme="minorEastAsia"/>
                <w:lang w:val="en-US" w:eastAsia="zh-CN"/>
              </w:rPr>
              <w:t>2</w:t>
            </w:r>
            <w:r>
              <w:rPr>
                <w:rFonts w:hint="eastAsia" w:asciiTheme="minorEastAsia" w:hAnsiTheme="minorEastAsia" w:eastAsiaTheme="minorEastAsia"/>
              </w:rPr>
              <w:t>项不符合，进行了原因分析并制定纠正措施计划，经过审核组验证，纠正措施有效。</w:t>
            </w:r>
          </w:p>
          <w:p>
            <w:pPr>
              <w:spacing w:line="360" w:lineRule="exac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提供《审核报告》审核报告中包括审核目的、审核范围、审核依据、审核内容摘要、审核结论等内容，对审核过程进行了综述。</w:t>
            </w:r>
          </w:p>
          <w:p>
            <w:pPr>
              <w:spacing w:line="240" w:lineRule="exact"/>
              <w:rPr>
                <w:b/>
                <w:color w:val="000000" w:themeColor="text1"/>
                <w:sz w:val="20"/>
                <w:szCs w:val="20"/>
              </w:rPr>
            </w:pPr>
            <w:r>
              <w:rPr>
                <w:rFonts w:hint="eastAsia" w:asciiTheme="minorEastAsia" w:hAnsiTheme="minorEastAsia" w:eastAsiaTheme="minorEastAsia"/>
              </w:rPr>
              <w:t>审核结论：</w:t>
            </w:r>
            <w:r>
              <w:rPr>
                <w:rFonts w:hint="eastAsia" w:asciiTheme="minorEastAsia" w:hAnsiTheme="minorEastAsia" w:eastAsiaTheme="minorEastAsia"/>
                <w:color w:val="000000"/>
                <w:szCs w:val="21"/>
              </w:rPr>
              <w:t>本公司管理体系是符合</w:t>
            </w:r>
            <w:r>
              <w:rPr>
                <w:rFonts w:hint="eastAsia" w:cs="宋体" w:asciiTheme="minorEastAsia" w:hAnsiTheme="minorEastAsia" w:eastAsiaTheme="minorEastAsia"/>
                <w:szCs w:val="21"/>
                <w:lang w:val="en-US" w:eastAsia="zh-CN"/>
              </w:rPr>
              <w:t>GB/T45001-2020</w:t>
            </w:r>
            <w:r>
              <w:rPr>
                <w:rFonts w:hint="eastAsia" w:asciiTheme="minorEastAsia" w:hAnsiTheme="minorEastAsia" w:eastAsiaTheme="minorEastAsia"/>
                <w:color w:val="000000"/>
                <w:szCs w:val="21"/>
              </w:rPr>
              <w:t>《职业健康安全管理体系</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要求及使用指南》标准要求的</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公司依据：</w:t>
            </w:r>
            <w:r>
              <w:rPr>
                <w:rFonts w:hint="eastAsia" w:cs="宋体" w:asciiTheme="minorEastAsia" w:hAnsiTheme="minorEastAsia" w:eastAsiaTheme="minorEastAsia"/>
                <w:szCs w:val="21"/>
                <w:lang w:val="en-US" w:eastAsia="zh-CN"/>
              </w:rPr>
              <w:t>GB/T45001-2020</w:t>
            </w:r>
            <w:r>
              <w:rPr>
                <w:rFonts w:hint="eastAsia" w:cs="宋体" w:asciiTheme="minorEastAsia" w:hAnsiTheme="minorEastAsia" w:eastAsiaTheme="minorEastAsia"/>
                <w:szCs w:val="21"/>
              </w:rPr>
              <w:t>标准进行管理评审。</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目前按标准要求平稳运行，至今暂无变更情况发生。</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查阅公司管理评审资料：</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一、管理评审时间：</w:t>
            </w:r>
            <w:r>
              <w:rPr>
                <w:rFonts w:cs="宋体" w:asciiTheme="minorEastAsia" w:hAnsiTheme="minorEastAsia" w:eastAsiaTheme="minorEastAsia"/>
                <w:szCs w:val="21"/>
              </w:rPr>
              <w:t>20</w:t>
            </w:r>
            <w:r>
              <w:rPr>
                <w:rFonts w:hint="eastAsia" w:cs="宋体" w:asciiTheme="minorEastAsia" w:hAnsiTheme="minorEastAsia" w:eastAsiaTheme="minorEastAsia"/>
                <w:szCs w:val="21"/>
              </w:rPr>
              <w:t>2</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日</w:t>
            </w:r>
            <w:r>
              <w:rPr>
                <w:rFonts w:cs="宋体" w:asciiTheme="minorEastAsia" w:hAnsiTheme="minorEastAsia" w:eastAsiaTheme="minorEastAsia"/>
                <w:szCs w:val="21"/>
              </w:rPr>
              <w:t>,</w:t>
            </w:r>
            <w:r>
              <w:rPr>
                <w:rFonts w:hint="eastAsia" w:cs="宋体" w:asciiTheme="minorEastAsia" w:hAnsiTheme="minorEastAsia" w:eastAsiaTheme="minorEastAsia"/>
                <w:szCs w:val="21"/>
              </w:rPr>
              <w:t>评审方式：会议评审</w:t>
            </w:r>
          </w:p>
          <w:p>
            <w:pPr>
              <w:tabs>
                <w:tab w:val="right" w:leader="dot" w:pos="8190"/>
              </w:tabs>
              <w:adjustRightInd w:val="0"/>
              <w:spacing w:line="360" w:lineRule="auto"/>
              <w:rPr>
                <w:rFonts w:asciiTheme="minorEastAsia" w:hAnsiTheme="minorEastAsia" w:eastAsiaTheme="minorEastAsia"/>
                <w:szCs w:val="21"/>
              </w:rPr>
            </w:pPr>
            <w:r>
              <w:rPr>
                <w:rFonts w:hint="eastAsia" w:cs="宋体" w:asciiTheme="minorEastAsia" w:hAnsiTheme="minorEastAsia" w:eastAsiaTheme="minorEastAsia"/>
                <w:szCs w:val="21"/>
              </w:rPr>
              <w:t>参加人员：</w:t>
            </w:r>
            <w:r>
              <w:rPr>
                <w:rFonts w:hint="eastAsia" w:asciiTheme="minorEastAsia" w:hAnsiTheme="minorEastAsia" w:eastAsiaTheme="minorEastAsia"/>
                <w:szCs w:val="21"/>
              </w:rPr>
              <w:t>总经理、管理者代表、各部门负责人。</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二、管理评审输入：</w:t>
            </w:r>
          </w:p>
          <w:p>
            <w:pPr>
              <w:spacing w:line="360" w:lineRule="auto"/>
              <w:ind w:left="48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组织环境、相关方需求、风险和机遇、公司的管理方针、管理目标、指标的执行和完成情况；产品质量和顾客满意情况；</w:t>
            </w:r>
          </w:p>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资源的配备；纠正和预防措施情况；</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以上内容通过会上工作总结、汇报等形式体现。</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三、查看“管理评审报告”，报告中对本次管理评审做了总结，评价了公司建立、运行管理体系的效果。</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四、管理评审输出</w:t>
            </w:r>
            <w:r>
              <w:rPr>
                <w:rFonts w:cs="宋体" w:asciiTheme="minorEastAsia" w:hAnsiTheme="minorEastAsia" w:eastAsiaTheme="minorEastAsia"/>
                <w:szCs w:val="21"/>
              </w:rPr>
              <w:t>/</w:t>
            </w:r>
            <w:r>
              <w:rPr>
                <w:rFonts w:hint="eastAsia" w:cs="宋体" w:asciiTheme="minorEastAsia" w:hAnsiTheme="minorEastAsia" w:eastAsiaTheme="minorEastAsia"/>
                <w:szCs w:val="21"/>
              </w:rPr>
              <w:t>评审结论：</w:t>
            </w:r>
          </w:p>
          <w:p>
            <w:pPr>
              <w:spacing w:line="240" w:lineRule="exact"/>
              <w:rPr>
                <w:b/>
                <w:color w:val="000000" w:themeColor="text1"/>
                <w:sz w:val="20"/>
                <w:szCs w:val="20"/>
              </w:rPr>
            </w:pPr>
            <w:r>
              <w:rPr>
                <w:rFonts w:hint="eastAsia" w:asciiTheme="minorEastAsia" w:hAnsiTheme="minorEastAsia" w:eastAsiaTheme="minorEastAsia"/>
                <w:color w:val="000000"/>
                <w:szCs w:val="21"/>
              </w:rPr>
              <w:t>公司管理体系符合</w:t>
            </w:r>
            <w:r>
              <w:rPr>
                <w:rFonts w:hint="eastAsia" w:cs="宋体" w:asciiTheme="minorEastAsia" w:hAnsiTheme="minorEastAsia" w:eastAsiaTheme="minorEastAsia"/>
                <w:szCs w:val="21"/>
                <w:lang w:val="en-US" w:eastAsia="zh-CN"/>
              </w:rPr>
              <w:t>GB/T45001-2020</w:t>
            </w:r>
            <w:r>
              <w:rPr>
                <w:rFonts w:hint="eastAsia" w:asciiTheme="minorEastAsia" w:hAnsiTheme="minorEastAsia" w:eastAsiaTheme="minorEastAsia"/>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ascii="宋体" w:hAnsi="宋体"/>
                <w:szCs w:val="22"/>
                <w:u w:val="single"/>
                <w:lang w:val="en-US" w:eastAsia="zh-CN"/>
              </w:rPr>
              <w:t>未提供场所危害因子检测报告；开出不符合项。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w:t>
            </w:r>
            <w:r>
              <w:rPr>
                <w:rFonts w:hint="eastAsia"/>
                <w:b/>
                <w:color w:val="000000" w:themeColor="text1"/>
                <w:sz w:val="20"/>
                <w:szCs w:val="20"/>
                <w:lang w:val="en-US" w:eastAsia="zh-CN"/>
              </w:rPr>
              <w:t>地</w:t>
            </w:r>
            <w:r>
              <w:rPr>
                <w:rFonts w:hint="eastAsia"/>
                <w:b/>
                <w:color w:val="000000" w:themeColor="text1"/>
                <w:sz w:val="20"/>
                <w:szCs w:val="20"/>
              </w:rPr>
              <w:t>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asciiTheme="minorEastAsia" w:hAnsiTheme="minorEastAsia" w:eastAsiaTheme="minorEastAsia"/>
                <w:b/>
                <w:color w:val="000000"/>
                <w:spacing w:val="-20"/>
                <w:sz w:val="20"/>
                <w:szCs w:val="20"/>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1554480</wp:posOffset>
            </wp:positionH>
            <wp:positionV relativeFrom="paragraph">
              <wp:posOffset>316865</wp:posOffset>
            </wp:positionV>
            <wp:extent cx="591185" cy="427355"/>
            <wp:effectExtent l="0" t="0" r="3175" b="1460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591185" cy="42735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1485900</wp:posOffset>
            </wp:positionH>
            <wp:positionV relativeFrom="paragraph">
              <wp:posOffset>115570</wp:posOffset>
            </wp:positionV>
            <wp:extent cx="822960" cy="407035"/>
            <wp:effectExtent l="0" t="0" r="0" b="4445"/>
            <wp:wrapNone/>
            <wp:docPr id="4" name="图片 4"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王央央"/>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6432" behindDoc="1" locked="0" layoutInCell="1" allowOverlap="1">
            <wp:simplePos x="0" y="0"/>
            <wp:positionH relativeFrom="column">
              <wp:posOffset>716280</wp:posOffset>
            </wp:positionH>
            <wp:positionV relativeFrom="paragraph">
              <wp:posOffset>82550</wp:posOffset>
            </wp:positionV>
            <wp:extent cx="591185" cy="427355"/>
            <wp:effectExtent l="0" t="0" r="3175" b="14605"/>
            <wp:wrapNone/>
            <wp:docPr id="5"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签名"/>
                    <pic:cNvPicPr>
                      <a:picLocks noChangeAspect="1"/>
                    </pic:cNvPicPr>
                  </pic:nvPicPr>
                  <pic:blipFill>
                    <a:blip r:embed="rId6"/>
                    <a:stretch>
                      <a:fillRect/>
                    </a:stretch>
                  </pic:blipFill>
                  <pic:spPr>
                    <a:xfrm>
                      <a:off x="0" y="0"/>
                      <a:ext cx="591185" cy="427355"/>
                    </a:xfrm>
                    <a:prstGeom prst="rect">
                      <a:avLst/>
                    </a:prstGeom>
                  </pic:spPr>
                </pic:pic>
              </a:graphicData>
            </a:graphic>
          </wp:anchor>
        </w:drawing>
      </w:r>
      <w:r>
        <w:rPr>
          <w:rFonts w:hint="eastAsia"/>
          <w:b/>
          <w:color w:val="000000" w:themeColor="text1"/>
          <w:szCs w:val="21"/>
        </w:rPr>
        <w:t>组长签字:                               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bookmarkStart w:id="22" w:name="_GoBack"/>
      <w:bookmarkEnd w:id="22"/>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19D22"/>
    <w:multiLevelType w:val="singleLevel"/>
    <w:tmpl w:val="B0B19D22"/>
    <w:lvl w:ilvl="0" w:tentative="0">
      <w:start w:val="2"/>
      <w:numFmt w:val="decimal"/>
      <w:suff w:val="nothing"/>
      <w:lvlText w:val="%1、"/>
      <w:lvlJc w:val="left"/>
    </w:lvl>
  </w:abstractNum>
  <w:abstractNum w:abstractNumId="1">
    <w:nsid w:val="2F758CDF"/>
    <w:multiLevelType w:val="singleLevel"/>
    <w:tmpl w:val="2F758CDF"/>
    <w:lvl w:ilvl="0" w:tentative="0">
      <w:start w:val="8"/>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6607CB"/>
    <w:rsid w:val="15DF3BC9"/>
    <w:rsid w:val="2A7E6117"/>
    <w:rsid w:val="3ED302F9"/>
    <w:rsid w:val="3FF047AD"/>
    <w:rsid w:val="4F8D3968"/>
    <w:rsid w:val="57893EB2"/>
    <w:rsid w:val="5E8B1D3B"/>
    <w:rsid w:val="6ACD4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99"/>
    <w:rPr>
      <w:rFonts w:ascii="宋体" w:hAnsi="Courier New"/>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2021-03-05T02:31:53Z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