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38" w:type="dxa"/>
            <w:vAlign w:val="center"/>
          </w:tcPr>
          <w:p>
            <w:pPr>
              <w:rPr>
                <w:rFonts w:hint="default" w:eastAsia="宋体"/>
                <w:szCs w:val="21"/>
                <w:lang w:val="en-US" w:eastAsia="zh-CN"/>
              </w:rPr>
            </w:pPr>
            <w:r>
              <w:rPr>
                <w:rFonts w:hint="eastAsia"/>
                <w:szCs w:val="21"/>
              </w:rPr>
              <w:t>受审核部门：生产部     主管领导：</w:t>
            </w:r>
            <w:r>
              <w:rPr>
                <w:rFonts w:hint="eastAsia"/>
                <w:szCs w:val="21"/>
                <w:lang w:val="en-US" w:eastAsia="zh-CN"/>
              </w:rPr>
              <w:t>曹志敏</w:t>
            </w:r>
            <w:r>
              <w:rPr>
                <w:rFonts w:hint="eastAsia"/>
                <w:szCs w:val="21"/>
              </w:rPr>
              <w:t xml:space="preserve">        陪同人员：</w:t>
            </w:r>
            <w:r>
              <w:rPr>
                <w:rFonts w:hint="eastAsia"/>
                <w:szCs w:val="21"/>
                <w:lang w:val="en-US" w:eastAsia="zh-CN"/>
              </w:rPr>
              <w:t>张勇</w:t>
            </w:r>
          </w:p>
        </w:tc>
        <w:tc>
          <w:tcPr>
            <w:tcW w:w="85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8" w:type="dxa"/>
            <w:vAlign w:val="center"/>
          </w:tcPr>
          <w:p>
            <w:pPr>
              <w:spacing w:before="120"/>
              <w:rPr>
                <w:szCs w:val="21"/>
              </w:rPr>
            </w:pPr>
            <w:r>
              <w:rPr>
                <w:rFonts w:hint="eastAsia"/>
                <w:szCs w:val="21"/>
              </w:rPr>
              <w:t>审核员：</w:t>
            </w:r>
            <w:r>
              <w:rPr>
                <w:rFonts w:hint="eastAsia"/>
                <w:szCs w:val="21"/>
                <w:lang w:val="en-US" w:eastAsia="zh-CN"/>
              </w:rPr>
              <w:t>伍光华</w:t>
            </w:r>
            <w:r>
              <w:rPr>
                <w:rFonts w:hint="eastAsia"/>
                <w:szCs w:val="21"/>
              </w:rPr>
              <w:t xml:space="preserve">      审核时间：20</w:t>
            </w:r>
            <w:r>
              <w:rPr>
                <w:rFonts w:hint="eastAsia"/>
                <w:szCs w:val="21"/>
                <w:lang w:val="en-US" w:eastAsia="zh-CN"/>
              </w:rPr>
              <w:t>21</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6</w:t>
            </w:r>
            <w:r>
              <w:rPr>
                <w:rFonts w:hint="eastAsia"/>
                <w:szCs w:val="21"/>
              </w:rPr>
              <w:t>日-</w:t>
            </w:r>
            <w:r>
              <w:rPr>
                <w:rFonts w:hint="eastAsia"/>
                <w:szCs w:val="21"/>
                <w:lang w:val="en-US" w:eastAsia="zh-CN"/>
              </w:rPr>
              <w:t>7</w:t>
            </w:r>
            <w:r>
              <w:rPr>
                <w:rFonts w:hint="eastAsia"/>
                <w:szCs w:val="21"/>
              </w:rPr>
              <w:t>日</w:t>
            </w:r>
          </w:p>
        </w:tc>
        <w:tc>
          <w:tcPr>
            <w:tcW w:w="85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8" w:type="dxa"/>
            <w:vAlign w:val="center"/>
          </w:tcPr>
          <w:p>
            <w:pPr>
              <w:numPr>
                <w:ilvl w:val="3"/>
                <w:numId w:val="0"/>
              </w:num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审核条款：Q:5.3/6.1/6.2/7.4/7.1.3/7.1.4/7.1.5/8.1/8.5.1/8.5.2/8.5.3/8.5.4/8.5.5/8.5.6/8.6/8.7/</w:t>
            </w:r>
          </w:p>
          <w:p>
            <w:pPr>
              <w:numPr>
                <w:ilvl w:val="3"/>
                <w:numId w:val="0"/>
              </w:num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9.1.1/</w:t>
            </w:r>
            <w:r>
              <w:rPr>
                <w:rFonts w:asciiTheme="minorEastAsia" w:hAnsiTheme="minorEastAsia" w:eastAsiaTheme="minorEastAsia" w:cstheme="minorEastAsia"/>
                <w:b/>
                <w:szCs w:val="21"/>
              </w:rPr>
              <w:t>9.1.3</w:t>
            </w:r>
            <w:r>
              <w:rPr>
                <w:rFonts w:hint="eastAsia" w:asciiTheme="minorEastAsia" w:hAnsiTheme="minorEastAsia" w:eastAsiaTheme="minorEastAsia" w:cstheme="minorEastAsia"/>
                <w:b/>
                <w:szCs w:val="21"/>
              </w:rPr>
              <w:t>//10.2/10.3</w:t>
            </w:r>
          </w:p>
          <w:p>
            <w:pPr>
              <w:numPr>
                <w:ilvl w:val="3"/>
                <w:numId w:val="0"/>
              </w:num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E:5.3/6.2/6.1.2/6.1.3/6.1.4/8.1/8.2/9.1.2/10.2</w:t>
            </w:r>
          </w:p>
          <w:p>
            <w:pPr>
              <w:numPr>
                <w:ilvl w:val="3"/>
                <w:numId w:val="0"/>
              </w:numPr>
              <w:spacing w:line="360" w:lineRule="auto"/>
              <w:jc w:val="left"/>
              <w:rPr>
                <w:szCs w:val="21"/>
              </w:rPr>
            </w:pPr>
            <w:r>
              <w:rPr>
                <w:rFonts w:hint="eastAsia" w:asciiTheme="minorEastAsia" w:hAnsiTheme="minorEastAsia" w:eastAsiaTheme="minorEastAsia" w:cstheme="minorEastAsia"/>
                <w:b/>
                <w:szCs w:val="21"/>
              </w:rPr>
              <w:t>S：5.3/5.4/6.1.2/6.1.3/6.1.4/ /</w:t>
            </w:r>
            <w:r>
              <w:rPr>
                <w:rFonts w:asciiTheme="minorEastAsia" w:hAnsiTheme="minorEastAsia" w:eastAsiaTheme="minorEastAsia" w:cstheme="minorEastAsia"/>
                <w:b/>
                <w:szCs w:val="21"/>
              </w:rPr>
              <w:t>7.5</w:t>
            </w:r>
            <w:r>
              <w:rPr>
                <w:rFonts w:hint="eastAsia" w:asciiTheme="minorEastAsia" w:hAnsiTheme="minorEastAsia" w:eastAsiaTheme="minorEastAsia" w:cstheme="minorEastAsia"/>
                <w:b/>
                <w:szCs w:val="21"/>
              </w:rPr>
              <w:t>/8.1.2/8.1.3/8.2/9.1.1/9.1.2/10.2/10.3</w:t>
            </w:r>
          </w:p>
        </w:tc>
        <w:tc>
          <w:tcPr>
            <w:tcW w:w="85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Theme="minorEastAsia" w:hAnsiTheme="minorEastAsia" w:eastAsiaTheme="minorEastAsia" w:cstheme="minorEastAsia"/>
                <w:szCs w:val="21"/>
              </w:rPr>
              <w:t>询查部门及人员的职责和权限，是否与规定一致？</w:t>
            </w:r>
          </w:p>
        </w:tc>
        <w:tc>
          <w:tcPr>
            <w:tcW w:w="960"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QES5.3</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S5.4</w:t>
            </w:r>
          </w:p>
          <w:p>
            <w:pPr>
              <w:rPr>
                <w:szCs w:val="21"/>
              </w:rPr>
            </w:pPr>
            <w:r>
              <w:rPr>
                <w:rFonts w:hint="eastAsia" w:asciiTheme="minorEastAsia" w:hAnsiTheme="minorEastAsia" w:eastAsiaTheme="minorEastAsia" w:cstheme="minorEastAsia"/>
                <w:b/>
                <w:bCs/>
                <w:szCs w:val="21"/>
              </w:rPr>
              <w:t>Q7.4</w:t>
            </w:r>
          </w:p>
        </w:tc>
        <w:tc>
          <w:tcPr>
            <w:tcW w:w="10738" w:type="dxa"/>
          </w:tcPr>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管理手册》中的职能分配表和手册中规定：对职能部门和各类人员的职责和权限做了规定，同时制定了管理制度及职责汇编，通过对《管理手册》及管理制度及职责汇编等管理文件的发布，使各部门及岗位的职责和权限在公司内得到沟通，符合规定要求。</w:t>
            </w:r>
          </w:p>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生产部经理</w:t>
            </w:r>
            <w:r>
              <w:rPr>
                <w:rFonts w:hint="eastAsia"/>
                <w:szCs w:val="21"/>
                <w:lang w:val="en-US" w:eastAsia="zh-CN"/>
              </w:rPr>
              <w:t>曹志敏</w:t>
            </w:r>
            <w:r>
              <w:rPr>
                <w:rFonts w:hint="eastAsia" w:asciiTheme="minorEastAsia" w:hAnsiTheme="minorEastAsia" w:eastAsiaTheme="minorEastAsia" w:cstheme="minorEastAsia"/>
                <w:szCs w:val="21"/>
              </w:rPr>
              <w:t>，配置生产计划员、技术员、设备维护员、技能工人等人员，具体负责基础设施管理、过程运行环境控制、产品实现过程的策划控制、生产和服务提供过程确认控制、标识和可追溯性控制、产品防护控制、变更控制、监视和测量、不合格品控制、纠正措施控制、预防措施控制、危险源、环境因素识别及评价控制、目标指标和管理方案控制、运行控制、应急准备和响应控制等。</w:t>
            </w:r>
          </w:p>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与生产部经理</w:t>
            </w:r>
            <w:r>
              <w:rPr>
                <w:rFonts w:hint="eastAsia"/>
                <w:szCs w:val="21"/>
                <w:lang w:val="en-US" w:eastAsia="zh-CN"/>
              </w:rPr>
              <w:t>曹志敏</w:t>
            </w:r>
            <w:r>
              <w:rPr>
                <w:rFonts w:hint="eastAsia" w:asciiTheme="minorEastAsia" w:hAnsiTheme="minorEastAsia" w:eastAsiaTheme="minorEastAsia" w:cstheme="minorEastAsia"/>
                <w:szCs w:val="21"/>
              </w:rPr>
              <w:t>沟通，对本部门的主要工作及部门员工的职责和权限比较了解，基本符合。</w:t>
            </w:r>
          </w:p>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询问车间操作工李玉枝、刘兵岗位职责及作业操作情况，对其本岗位的职责和权限了解清楚，作业标准熟悉，操作熟练，基本符合。</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应对风险和机遇的措施</w:t>
            </w:r>
          </w:p>
          <w:p>
            <w:pPr>
              <w:rPr>
                <w:szCs w:val="21"/>
              </w:rPr>
            </w:pPr>
          </w:p>
        </w:tc>
        <w:tc>
          <w:tcPr>
            <w:tcW w:w="960" w:type="dxa"/>
          </w:tcPr>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QE</w:t>
            </w:r>
            <w:r>
              <w:rPr>
                <w:rFonts w:hint="eastAsia" w:asciiTheme="minorEastAsia" w:hAnsiTheme="minorEastAsia" w:eastAsiaTheme="minorEastAsia" w:cstheme="minorEastAsia"/>
                <w:b/>
                <w:szCs w:val="21"/>
              </w:rPr>
              <w:t>6.1</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S6.1.1</w:t>
            </w:r>
          </w:p>
          <w:p>
            <w:pPr>
              <w:rPr>
                <w:szCs w:val="21"/>
              </w:rPr>
            </w:pPr>
          </w:p>
        </w:tc>
        <w:tc>
          <w:tcPr>
            <w:tcW w:w="10738" w:type="dxa"/>
          </w:tcPr>
          <w:p>
            <w:pPr>
              <w:numPr>
                <w:ilvl w:val="3"/>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风险和机遇的应对控制程序》，用过程方法及风险评价识别了本部门的质量、环境、职业健康安全风险及应对措施的策划，有《风险和机遇识别及应对措施表》，将需要应对的风险和机遇进行风险分析确定风险级别（低、一般。高），在质量管理体系所确定的过程（法律、法规内容的变化、行业标准的变化、客户的需求、供应商的要求、第三方的要求、新领域、新设备、新工艺、专利有效期、公司市场占有率、市场领先趋势、顾客增长趋势、市场稳定性、市场容量竞争力、价格风险、公司运营、财务状况、人员的流动、员工业务素质、绩效考核、基础设施管理、公司运行环境等）中，整合制定针对性应对措施（如完善公司管理文件等）。</w:t>
            </w:r>
          </w:p>
          <w:p>
            <w:pPr>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并于</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7</w:t>
            </w:r>
            <w:r>
              <w:rPr>
                <w:rFonts w:hint="eastAsia"/>
                <w:szCs w:val="21"/>
              </w:rPr>
              <w:t>.28</w:t>
            </w:r>
            <w:r>
              <w:rPr>
                <w:rFonts w:hint="eastAsia" w:asciiTheme="minorEastAsia" w:hAnsiTheme="minorEastAsia" w:eastAsiaTheme="minorEastAsia" w:cstheme="minorEastAsia"/>
                <w:szCs w:val="21"/>
              </w:rPr>
              <w:t>进行了措施有效性的评审，结果为有效，编制：</w:t>
            </w:r>
            <w:r>
              <w:rPr>
                <w:rFonts w:hint="eastAsia" w:asciiTheme="minorEastAsia" w:hAnsiTheme="minorEastAsia" w:eastAsiaTheme="minorEastAsia" w:cstheme="minorEastAsia"/>
                <w:szCs w:val="21"/>
                <w:lang w:val="en-US" w:eastAsia="zh-CN"/>
              </w:rPr>
              <w:t>张勇</w:t>
            </w:r>
            <w:r>
              <w:rPr>
                <w:rFonts w:hint="eastAsia" w:asciiTheme="minorEastAsia" w:hAnsiTheme="minorEastAsia" w:eastAsiaTheme="minorEastAsia" w:cstheme="minorEastAsia"/>
                <w:szCs w:val="21"/>
              </w:rPr>
              <w:t xml:space="preserve">    批准：</w:t>
            </w:r>
            <w:r>
              <w:rPr>
                <w:rFonts w:hint="eastAsia" w:asciiTheme="minorEastAsia" w:hAnsiTheme="minorEastAsia" w:eastAsiaTheme="minorEastAsia" w:cstheme="minorEastAsia"/>
                <w:szCs w:val="21"/>
                <w:lang w:val="en-US" w:eastAsia="zh-CN"/>
              </w:rPr>
              <w:t>易学勇</w:t>
            </w:r>
            <w:r>
              <w:rPr>
                <w:rFonts w:hint="eastAsia" w:asciiTheme="minorEastAsia" w:hAnsiTheme="minorEastAsia" w:eastAsiaTheme="minorEastAsia" w:cstheme="minorEastAsia"/>
                <w:szCs w:val="21"/>
              </w:rPr>
              <w:t>。</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目标及其实现的策划总要求</w:t>
            </w: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QES</w:t>
            </w:r>
            <w:r>
              <w:rPr>
                <w:rFonts w:hint="eastAsia" w:asciiTheme="minorEastAsia" w:hAnsiTheme="minorEastAsia" w:eastAsiaTheme="minorEastAsia" w:cstheme="minorEastAsia"/>
                <w:b/>
                <w:szCs w:val="21"/>
              </w:rPr>
              <w:t>6.2</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Q7.4</w:t>
            </w:r>
          </w:p>
          <w:p>
            <w:pPr>
              <w:spacing w:line="360" w:lineRule="auto"/>
              <w:rPr>
                <w:rFonts w:asciiTheme="minorEastAsia" w:hAnsiTheme="minorEastAsia" w:eastAsiaTheme="minorEastAsia" w:cstheme="minorEastAsia"/>
                <w:szCs w:val="21"/>
              </w:rPr>
            </w:pP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查有公司公司级管理目标，并按照部门对目标进行分解，有目标管理管理规定，规定了目标的分解及考核的具体方法。</w:t>
            </w:r>
          </w:p>
          <w:p>
            <w:pPr>
              <w:spacing w:line="360" w:lineRule="auto"/>
              <w:ind w:firstLine="420" w:firstLineChars="200"/>
              <w:rPr>
                <w:rFonts w:hint="eastAsia" w:asciiTheme="minorEastAsia" w:hAnsiTheme="minorEastAsia" w:eastAsiaTheme="minorEastAsia" w:cstheme="minorEastAsia"/>
                <w:szCs w:val="21"/>
              </w:rPr>
            </w:pPr>
            <w:r>
              <w:drawing>
                <wp:inline distT="0" distB="0" distL="114300" distR="114300">
                  <wp:extent cx="6483350" cy="1957070"/>
                  <wp:effectExtent l="0" t="0" r="635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483350" cy="1957070"/>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与方针一致，符合公司总的质量、环境、职业健康安全目标，经查，达成目标，并将管理目标完成情况在公司会议上进行通报。</w:t>
            </w:r>
          </w:p>
          <w:p>
            <w:pPr>
              <w:spacing w:line="360" w:lineRule="auto"/>
              <w:ind w:firstLine="420" w:firstLineChars="200"/>
              <w:rPr>
                <w:rFonts w:ascii="宋体" w:hAnsi="宋体" w:cs="宋体"/>
                <w:szCs w:val="21"/>
              </w:rPr>
            </w:pPr>
            <w:r>
              <w:rPr>
                <w:rFonts w:hint="eastAsia" w:ascii="宋体" w:hAnsi="宋体" w:cs="宋体"/>
                <w:szCs w:val="21"/>
              </w:rPr>
              <w:t>环境和职业健康安全体系建立了管理方案，查管理方案表，共5项：</w:t>
            </w:r>
          </w:p>
          <w:p>
            <w:pPr>
              <w:spacing w:line="360" w:lineRule="auto"/>
              <w:ind w:firstLine="420" w:firstLineChars="200"/>
              <w:rPr>
                <w:rFonts w:ascii="宋体" w:hAnsi="宋体" w:cs="宋体"/>
                <w:szCs w:val="21"/>
              </w:rPr>
            </w:pPr>
            <w:r>
              <w:rPr>
                <w:rFonts w:hint="eastAsia" w:ascii="宋体" w:hAnsi="宋体" w:cs="宋体"/>
                <w:szCs w:val="21"/>
              </w:rPr>
              <w:t xml:space="preserve"> 1、建立环境保护管理规定；噪声隔离，减少接触时间，加强设备维修保养润滑，减少噪声排放；</w:t>
            </w:r>
          </w:p>
          <w:p>
            <w:pPr>
              <w:spacing w:line="360" w:lineRule="auto"/>
              <w:ind w:firstLine="420" w:firstLineChars="200"/>
              <w:rPr>
                <w:rFonts w:ascii="宋体" w:hAnsi="宋体" w:cs="宋体"/>
                <w:szCs w:val="21"/>
              </w:rPr>
            </w:pPr>
            <w:r>
              <w:rPr>
                <w:rFonts w:hint="eastAsia" w:ascii="宋体" w:hAnsi="宋体" w:cs="宋体"/>
                <w:szCs w:val="21"/>
              </w:rPr>
              <w:t>2、建立生产现场环境保护管理制度，定时洒水、清扫，原材料堆场、破碎车间已装收尘设备</w:t>
            </w:r>
          </w:p>
          <w:p>
            <w:pPr>
              <w:spacing w:line="360" w:lineRule="auto"/>
              <w:ind w:firstLine="420" w:firstLineChars="200"/>
              <w:rPr>
                <w:szCs w:val="21"/>
              </w:rPr>
            </w:pPr>
            <w:r>
              <w:rPr>
                <w:rFonts w:hint="eastAsia"/>
                <w:szCs w:val="21"/>
              </w:rPr>
              <w:t>3</w:t>
            </w:r>
            <w:r>
              <w:rPr>
                <w:szCs w:val="21"/>
              </w:rPr>
              <w:t xml:space="preserve">. </w:t>
            </w:r>
            <w:r>
              <w:rPr>
                <w:rFonts w:hint="eastAsia"/>
                <w:szCs w:val="21"/>
              </w:rPr>
              <w:t>建立环境保护管理规定；回收利用，交给有资质的公司回收</w:t>
            </w:r>
          </w:p>
          <w:p>
            <w:pPr>
              <w:spacing w:line="360" w:lineRule="auto"/>
              <w:ind w:firstLine="420" w:firstLineChars="200"/>
              <w:rPr>
                <w:szCs w:val="21"/>
              </w:rPr>
            </w:pPr>
            <w:r>
              <w:rPr>
                <w:rFonts w:hint="eastAsia"/>
                <w:szCs w:val="21"/>
              </w:rPr>
              <w:t>4</w:t>
            </w:r>
            <w:r>
              <w:rPr>
                <w:szCs w:val="21"/>
              </w:rPr>
              <w:t xml:space="preserve">. </w:t>
            </w:r>
            <w:r>
              <w:rPr>
                <w:rFonts w:hint="eastAsia"/>
                <w:szCs w:val="21"/>
              </w:rPr>
              <w:t>建立管理制度；人员持证上岗；压力容器定期检测</w:t>
            </w:r>
          </w:p>
          <w:p>
            <w:pPr>
              <w:spacing w:line="360" w:lineRule="auto"/>
              <w:ind w:firstLine="420" w:firstLineChars="200"/>
              <w:rPr>
                <w:szCs w:val="21"/>
              </w:rPr>
            </w:pPr>
            <w:r>
              <w:rPr>
                <w:rFonts w:hint="eastAsia"/>
                <w:szCs w:val="21"/>
              </w:rPr>
              <w:t>5．建立管理制度；节约用水、用电</w:t>
            </w:r>
          </w:p>
          <w:p>
            <w:pPr>
              <w:spacing w:line="360" w:lineRule="auto"/>
              <w:ind w:firstLine="420" w:firstLineChars="200"/>
              <w:rPr>
                <w:szCs w:val="21"/>
              </w:rPr>
            </w:pPr>
            <w:r>
              <w:rPr>
                <w:rFonts w:hint="eastAsia"/>
                <w:szCs w:val="21"/>
              </w:rPr>
              <w:t>上述目标、指标</w:t>
            </w:r>
            <w:r>
              <w:rPr>
                <w:szCs w:val="21"/>
              </w:rPr>
              <w:t>20</w:t>
            </w:r>
            <w:r>
              <w:rPr>
                <w:rFonts w:hint="eastAsia"/>
                <w:szCs w:val="21"/>
                <w:lang w:val="en-US" w:eastAsia="zh-CN"/>
              </w:rPr>
              <w:t>20</w:t>
            </w:r>
            <w:r>
              <w:rPr>
                <w:rFonts w:hint="eastAsia"/>
                <w:szCs w:val="21"/>
              </w:rPr>
              <w:t>年12月</w:t>
            </w:r>
            <w:r>
              <w:rPr>
                <w:szCs w:val="21"/>
              </w:rPr>
              <w:t>30</w:t>
            </w:r>
            <w:r>
              <w:rPr>
                <w:rFonts w:hint="eastAsia"/>
                <w:szCs w:val="21"/>
              </w:rPr>
              <w:t>日进行考核，考核结果：全部达标，考核人：</w:t>
            </w:r>
            <w:r>
              <w:rPr>
                <w:rFonts w:hint="eastAsia"/>
                <w:szCs w:val="21"/>
                <w:lang w:val="en-US" w:eastAsia="zh-CN"/>
              </w:rPr>
              <w:t>张勇</w:t>
            </w:r>
            <w:r>
              <w:rPr>
                <w:rFonts w:hint="eastAsia"/>
                <w:szCs w:val="21"/>
              </w:rPr>
              <w:t>。</w:t>
            </w:r>
          </w:p>
          <w:p>
            <w:pPr>
              <w:spacing w:line="360" w:lineRule="auto"/>
              <w:ind w:left="55" w:leftChars="26" w:firstLine="315" w:firstLineChars="150"/>
              <w:rPr>
                <w:rFonts w:asciiTheme="minorEastAsia" w:hAnsiTheme="minorEastAsia" w:eastAsiaTheme="minorEastAsia" w:cstheme="minorEastAsia"/>
                <w:szCs w:val="21"/>
              </w:rPr>
            </w:pPr>
            <w:r>
              <w:rPr>
                <w:rFonts w:hint="eastAsia"/>
                <w:szCs w:val="21"/>
              </w:rPr>
              <w:t>制定的指标和管理方案基本可行。</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2160" w:type="dxa"/>
          </w:tcPr>
          <w:p>
            <w:pPr>
              <w:pStyle w:val="8"/>
              <w:spacing w:line="360" w:lineRule="auto"/>
              <w:ind w:firstLine="0" w:firstLineChars="0"/>
              <w:jc w:val="both"/>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现场基础设施</w:t>
            </w:r>
          </w:p>
          <w:p>
            <w:pPr>
              <w:pStyle w:val="8"/>
              <w:spacing w:line="360" w:lineRule="auto"/>
              <w:ind w:firstLine="0" w:firstLineChars="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（车间现场观察）</w:t>
            </w:r>
          </w:p>
        </w:tc>
        <w:tc>
          <w:tcPr>
            <w:tcW w:w="960" w:type="dxa"/>
          </w:tcPr>
          <w:p>
            <w:pPr>
              <w:pStyle w:val="8"/>
              <w:spacing w:line="360" w:lineRule="auto"/>
              <w:ind w:firstLine="0" w:firstLineChars="0"/>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Q7.1.3</w:t>
            </w:r>
          </w:p>
          <w:p>
            <w:pPr>
              <w:pStyle w:val="8"/>
              <w:spacing w:line="360" w:lineRule="auto"/>
              <w:ind w:firstLine="0" w:firstLineChars="0"/>
              <w:rPr>
                <w:rFonts w:asciiTheme="minorEastAsia" w:hAnsiTheme="minorEastAsia" w:eastAsiaTheme="minorEastAsia" w:cstheme="minorEastAsia"/>
                <w:color w:val="auto"/>
                <w:sz w:val="21"/>
                <w:szCs w:val="21"/>
              </w:rPr>
            </w:pPr>
          </w:p>
        </w:tc>
        <w:tc>
          <w:tcPr>
            <w:tcW w:w="10738" w:type="dxa"/>
          </w:tcPr>
          <w:p>
            <w:pPr>
              <w:spacing w:line="36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查看“主要设备一览表”，</w:t>
            </w:r>
            <w:r>
              <w:rPr>
                <w:rFonts w:hint="eastAsia" w:asciiTheme="minorEastAsia" w:hAnsiTheme="minorEastAsia" w:eastAsiaTheme="minorEastAsia" w:cstheme="minorEastAsia"/>
                <w:b/>
                <w:bCs/>
                <w:szCs w:val="21"/>
              </w:rPr>
              <w:t>生产设备有</w:t>
            </w:r>
            <w:r>
              <w:rPr>
                <w:rFonts w:hint="eastAsia" w:asciiTheme="minorEastAsia" w:hAnsiTheme="minorEastAsia" w:eastAsiaTheme="minorEastAsia" w:cstheme="minorEastAsia"/>
                <w:bCs/>
                <w:szCs w:val="21"/>
              </w:rPr>
              <w:t xml:space="preserve">： </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配料系统、斗式提升机、石灰仓、水膜除尘处理装置、水泥仓、1245球磨机、储浆罐、 浇注摆渡车5.0×2.604×0.389m、翻转吊具2500×1840×1602mm、半成品吊具2600×1950×1706mm、切割机4.08×1.2m、侧板辊台、模具4580×1420×290mm、蒸养车4424×1420×200mm 、锅炉4T、 蒸压釜Q2.0×31.5m、废浆搅拌机、储浆搅拌机、制浆搅拌机、配浆搅拌机、皮带输送机等，基本满足生产要求。</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特种设备：</w:t>
            </w: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 xml:space="preserve">环保设备/安全设施配置: </w:t>
            </w:r>
            <w:r>
              <w:rPr>
                <w:rFonts w:hint="eastAsia" w:asciiTheme="minorEastAsia" w:hAnsiTheme="minorEastAsia" w:eastAsiaTheme="minorEastAsia" w:cstheme="minorEastAsia"/>
                <w:bCs/>
                <w:szCs w:val="21"/>
              </w:rPr>
              <w:t>水膜除尘处理装置、碱液循环水、生物质蒸汽锅炉（煤改生物质）、灭火器、消防器材、标识牌、隔音、绿化、垃圾桶、垃圾箱等，生产部定期维护与保养。</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办公设备</w:t>
            </w:r>
            <w:r>
              <w:rPr>
                <w:rFonts w:hint="eastAsia" w:asciiTheme="minorEastAsia" w:hAnsiTheme="minorEastAsia" w:eastAsiaTheme="minorEastAsia" w:cstheme="minorEastAsia"/>
                <w:bCs/>
                <w:szCs w:val="21"/>
              </w:rPr>
              <w:t>：公司根据的需要，配备了行政办公用房及通讯、信息系统等基础设施， 并配备有办公桌椅，水电、空调、会议室、消防设施设备，并有电脑、打印机、电话、传真机、复印机等办公设备；满足办公需要。</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查“设备台账”、“设备检修计划”、“设备保养记录”、“设施检修/维修记录”等</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见：依照计划进行设备设施的升级、维护、更换、配备，相关设施配备和管理比较完善。</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查1：《配料系统 保养记录》，设备管理人：</w:t>
            </w:r>
            <w:r>
              <w:rPr>
                <w:rFonts w:hint="eastAsia" w:asciiTheme="minorEastAsia" w:hAnsiTheme="minorEastAsia" w:eastAsiaTheme="minorEastAsia" w:cstheme="minorEastAsia"/>
                <w:bCs/>
                <w:szCs w:val="21"/>
                <w:lang w:val="en-US" w:eastAsia="zh-CN"/>
              </w:rPr>
              <w:t>曹志敏</w:t>
            </w:r>
            <w:r>
              <w:rPr>
                <w:rFonts w:hint="eastAsia" w:asciiTheme="minorEastAsia" w:hAnsiTheme="minorEastAsia" w:eastAsiaTheme="minorEastAsia" w:cstheme="minorEastAsia"/>
                <w:bCs/>
                <w:szCs w:val="21"/>
              </w:rPr>
              <w:t xml:space="preserve"> ，保养项目：手动安全阀、检查皮带松紧度、电机轴承的检查和润滑、电动机的清洁、检查异常声音和振动、检查泄漏、油杯内润滑油量、各润滑点、气动蝶阀、气动电磁阀等是否正常，保养日期：20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年7月1-20日。</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查2：《1245球磨机  保养记录》，设备管理人：</w:t>
            </w:r>
            <w:r>
              <w:rPr>
                <w:rFonts w:hint="eastAsia" w:asciiTheme="minorEastAsia" w:hAnsiTheme="minorEastAsia" w:eastAsiaTheme="minorEastAsia" w:cstheme="minorEastAsia"/>
                <w:bCs/>
                <w:szCs w:val="21"/>
                <w:lang w:val="en-US" w:eastAsia="zh-CN"/>
              </w:rPr>
              <w:t>曹志敏</w:t>
            </w:r>
            <w:r>
              <w:rPr>
                <w:rFonts w:hint="eastAsia" w:asciiTheme="minorEastAsia" w:hAnsiTheme="minorEastAsia" w:eastAsiaTheme="minorEastAsia" w:cstheme="minorEastAsia"/>
                <w:bCs/>
                <w:szCs w:val="21"/>
              </w:rPr>
              <w:t>，保养项目：电机轴承的检查和润滑、电动机的清洁、检查异常声音和振动、检查泄漏、油杯内润滑油量、各润滑点、气动蝶阀、气动电磁阀等是否正常等，保养日期：20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年7月1-20日。</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查3：《设备保养记录》环保设备水膜除尘处理装置、碱液循环水系统，设备管理人：</w:t>
            </w:r>
            <w:r>
              <w:rPr>
                <w:rFonts w:hint="eastAsia" w:asciiTheme="minorEastAsia" w:hAnsiTheme="minorEastAsia" w:eastAsiaTheme="minorEastAsia" w:cstheme="minorEastAsia"/>
                <w:bCs/>
                <w:szCs w:val="21"/>
                <w:lang w:val="en-US" w:eastAsia="zh-CN"/>
              </w:rPr>
              <w:t>曹志敏</w:t>
            </w:r>
            <w:r>
              <w:rPr>
                <w:rFonts w:hint="eastAsia" w:asciiTheme="minorEastAsia" w:hAnsiTheme="minorEastAsia" w:eastAsiaTheme="minorEastAsia" w:cstheme="minorEastAsia"/>
                <w:bCs/>
                <w:szCs w:val="21"/>
              </w:rPr>
              <w:t xml:space="preserve"> ，保养部位及项目：预处理、循环水池、循环水泵、除异味塔、循环池等，</w:t>
            </w:r>
            <w:r>
              <w:rPr>
                <w:rFonts w:asciiTheme="minorEastAsia" w:hAnsiTheme="minorEastAsia" w:eastAsiaTheme="minorEastAsia" w:cstheme="minorEastAsia"/>
                <w:bCs/>
                <w:szCs w:val="21"/>
              </w:rPr>
              <w:t>调整必要的零部件，调整各运动部件的间隙，更换易损件、调整电器部分，检查电器接触是否良好，接线是否牢固、清洗油杯、油管、油标、检查油质，按规定加油，做到油路畅通，油标醒目</w:t>
            </w:r>
            <w:r>
              <w:rPr>
                <w:rFonts w:hint="eastAsia" w:asciiTheme="minorEastAsia" w:hAnsiTheme="minorEastAsia" w:eastAsiaTheme="minorEastAsia" w:cstheme="minorEastAsia"/>
                <w:bCs/>
                <w:szCs w:val="21"/>
              </w:rPr>
              <w:t>等，保养日期：20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年7月1-20日。</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查《设施检修/维修记录》  </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见1：“1245球磨机设施检修/维修记录”，故障发生时间及故障现象为：球磨机风机振动，检修内容：更换打风机叶片，拧紧地脚螺栓，检修结论：经过更换，设备运转正常。报修人吴风发、检修人黄成长、验收人</w:t>
            </w:r>
            <w:r>
              <w:rPr>
                <w:rFonts w:hint="eastAsia" w:asciiTheme="minorEastAsia" w:hAnsiTheme="minorEastAsia" w:eastAsiaTheme="minorEastAsia" w:cstheme="minorEastAsia"/>
                <w:bCs/>
                <w:szCs w:val="21"/>
                <w:lang w:val="en-US" w:eastAsia="zh-CN"/>
              </w:rPr>
              <w:t>曹志敏</w:t>
            </w:r>
            <w:r>
              <w:rPr>
                <w:rFonts w:hint="eastAsia" w:asciiTheme="minorEastAsia" w:hAnsiTheme="minorEastAsia" w:eastAsiaTheme="minorEastAsia" w:cstheme="minorEastAsia"/>
                <w:bCs/>
                <w:szCs w:val="21"/>
              </w:rPr>
              <w:t>，时间20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年6月11日。</w:t>
            </w:r>
          </w:p>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见2：“配料系统 设施检修/维修记录”，故障发生时间及故障现象为：电机异响，检修内容：更换搅拌轴承，检修结论：经过更换，电机运转正常、无异响。报修人王有端、检修人费新甲、验收人</w:t>
            </w:r>
            <w:r>
              <w:rPr>
                <w:rFonts w:hint="eastAsia" w:asciiTheme="minorEastAsia" w:hAnsiTheme="minorEastAsia" w:eastAsiaTheme="minorEastAsia" w:cstheme="minorEastAsia"/>
                <w:bCs/>
                <w:szCs w:val="21"/>
                <w:lang w:val="en-US" w:eastAsia="zh-CN"/>
              </w:rPr>
              <w:t>曹志敏</w:t>
            </w:r>
            <w:r>
              <w:rPr>
                <w:rFonts w:hint="eastAsia" w:asciiTheme="minorEastAsia" w:hAnsiTheme="minorEastAsia" w:eastAsiaTheme="minorEastAsia" w:cstheme="minorEastAsia"/>
                <w:bCs/>
                <w:szCs w:val="21"/>
              </w:rPr>
              <w:t>，时间20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年5月18日。</w:t>
            </w:r>
          </w:p>
          <w:p>
            <w:pPr>
              <w:spacing w:line="360" w:lineRule="auto"/>
              <w:rPr>
                <w:rFonts w:hint="eastAsia" w:asciiTheme="minorEastAsia" w:hAnsiTheme="minorEastAsia" w:eastAsiaTheme="minorEastAsia" w:cstheme="minorEastAsia"/>
                <w:bCs/>
                <w:szCs w:val="21"/>
                <w:lang w:eastAsia="zh-CN"/>
              </w:rPr>
            </w:pPr>
            <w:bookmarkStart w:id="0" w:name="_GoBack"/>
            <w:bookmarkEnd w:id="0"/>
            <w:r>
              <w:rPr>
                <w:rFonts w:hint="eastAsia" w:asciiTheme="minorEastAsia" w:hAnsiTheme="minorEastAsia" w:eastAsiaTheme="minorEastAsia" w:cstheme="minorEastAsia"/>
                <w:bCs/>
                <w:szCs w:val="21"/>
                <w:lang w:eastAsia="zh-CN"/>
              </w:rPr>
              <w:drawing>
                <wp:inline distT="0" distB="0" distL="114300" distR="114300">
                  <wp:extent cx="1407795" cy="1878330"/>
                  <wp:effectExtent l="0" t="0" r="1905" b="1270"/>
                  <wp:docPr id="25" name="图片 25" descr="d16103712bdb2bcc323a68ad9b35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d16103712bdb2bcc323a68ad9b350c0"/>
                          <pic:cNvPicPr>
                            <a:picLocks noChangeAspect="1"/>
                          </pic:cNvPicPr>
                        </pic:nvPicPr>
                        <pic:blipFill>
                          <a:blip r:embed="rId7"/>
                          <a:stretch>
                            <a:fillRect/>
                          </a:stretch>
                        </pic:blipFill>
                        <pic:spPr>
                          <a:xfrm>
                            <a:off x="0" y="0"/>
                            <a:ext cx="1407795" cy="1878330"/>
                          </a:xfrm>
                          <a:prstGeom prst="rect">
                            <a:avLst/>
                          </a:prstGeom>
                        </pic:spPr>
                      </pic:pic>
                    </a:graphicData>
                  </a:graphic>
                </wp:inline>
              </w:drawing>
            </w:r>
            <w:r>
              <w:rPr>
                <w:rFonts w:hint="eastAsia" w:asciiTheme="minorEastAsia" w:hAnsiTheme="minorEastAsia" w:eastAsiaTheme="minorEastAsia" w:cstheme="minorEastAsia"/>
                <w:bCs/>
                <w:szCs w:val="21"/>
                <w:lang w:eastAsia="zh-CN"/>
              </w:rPr>
              <w:drawing>
                <wp:inline distT="0" distB="0" distL="114300" distR="114300">
                  <wp:extent cx="1407160" cy="1877060"/>
                  <wp:effectExtent l="0" t="0" r="2540" b="2540"/>
                  <wp:docPr id="29" name="图片 29" descr="a3f8cc5dc632bbf2629b3d457e6c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a3f8cc5dc632bbf2629b3d457e6c294"/>
                          <pic:cNvPicPr>
                            <a:picLocks noChangeAspect="1"/>
                          </pic:cNvPicPr>
                        </pic:nvPicPr>
                        <pic:blipFill>
                          <a:blip r:embed="rId8"/>
                          <a:stretch>
                            <a:fillRect/>
                          </a:stretch>
                        </pic:blipFill>
                        <pic:spPr>
                          <a:xfrm>
                            <a:off x="0" y="0"/>
                            <a:ext cx="1407160" cy="1877060"/>
                          </a:xfrm>
                          <a:prstGeom prst="rect">
                            <a:avLst/>
                          </a:prstGeom>
                        </pic:spPr>
                      </pic:pic>
                    </a:graphicData>
                  </a:graphic>
                </wp:inline>
              </w:drawing>
            </w:r>
            <w:r>
              <w:rPr>
                <w:rFonts w:hint="eastAsia" w:asciiTheme="minorEastAsia" w:hAnsiTheme="minorEastAsia" w:eastAsiaTheme="minorEastAsia" w:cstheme="minorEastAsia"/>
                <w:bCs/>
                <w:szCs w:val="21"/>
                <w:lang w:eastAsia="zh-CN"/>
              </w:rPr>
              <w:drawing>
                <wp:inline distT="0" distB="0" distL="114300" distR="114300">
                  <wp:extent cx="1402080" cy="1870075"/>
                  <wp:effectExtent l="0" t="0" r="7620" b="9525"/>
                  <wp:docPr id="7" name="图片 7" descr="e4155b10efae1d08cc2537857b2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4155b10efae1d08cc2537857b25910"/>
                          <pic:cNvPicPr>
                            <a:picLocks noChangeAspect="1"/>
                          </pic:cNvPicPr>
                        </pic:nvPicPr>
                        <pic:blipFill>
                          <a:blip r:embed="rId9"/>
                          <a:stretch>
                            <a:fillRect/>
                          </a:stretch>
                        </pic:blipFill>
                        <pic:spPr>
                          <a:xfrm>
                            <a:off x="0" y="0"/>
                            <a:ext cx="1402080" cy="1870075"/>
                          </a:xfrm>
                          <a:prstGeom prst="rect">
                            <a:avLst/>
                          </a:prstGeom>
                        </pic:spPr>
                      </pic:pic>
                    </a:graphicData>
                  </a:graphic>
                </wp:inline>
              </w:drawing>
            </w:r>
            <w:r>
              <w:rPr>
                <w:rFonts w:hint="eastAsia" w:asciiTheme="minorEastAsia" w:hAnsiTheme="minorEastAsia" w:eastAsiaTheme="minorEastAsia" w:cstheme="minorEastAsia"/>
                <w:bCs/>
                <w:szCs w:val="21"/>
                <w:lang w:eastAsia="zh-CN"/>
              </w:rPr>
              <w:drawing>
                <wp:inline distT="0" distB="0" distL="114300" distR="114300">
                  <wp:extent cx="1412875" cy="1884045"/>
                  <wp:effectExtent l="0" t="0" r="9525" b="8255"/>
                  <wp:docPr id="8" name="图片 8" descr="42956f95bb3c39edf9ba191cf52f5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2956f95bb3c39edf9ba191cf52f5d3"/>
                          <pic:cNvPicPr>
                            <a:picLocks noChangeAspect="1"/>
                          </pic:cNvPicPr>
                        </pic:nvPicPr>
                        <pic:blipFill>
                          <a:blip r:embed="rId10"/>
                          <a:stretch>
                            <a:fillRect/>
                          </a:stretch>
                        </pic:blipFill>
                        <pic:spPr>
                          <a:xfrm>
                            <a:off x="0" y="0"/>
                            <a:ext cx="1412875" cy="1884045"/>
                          </a:xfrm>
                          <a:prstGeom prst="rect">
                            <a:avLst/>
                          </a:prstGeom>
                        </pic:spPr>
                      </pic:pic>
                    </a:graphicData>
                  </a:graphic>
                </wp:inline>
              </w:drawing>
            </w:r>
          </w:p>
        </w:tc>
        <w:tc>
          <w:tcPr>
            <w:tcW w:w="85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2160" w:type="dxa"/>
          </w:tcPr>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过程运行环境（现场观察）</w:t>
            </w:r>
          </w:p>
        </w:tc>
        <w:tc>
          <w:tcPr>
            <w:tcW w:w="960" w:type="dxa"/>
          </w:tcPr>
          <w:p>
            <w:pPr>
              <w:pStyle w:val="8"/>
              <w:spacing w:line="360" w:lineRule="auto"/>
              <w:ind w:firstLine="0" w:firstLineChars="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 xml:space="preserve">Q </w:t>
            </w:r>
            <w:r>
              <w:rPr>
                <w:rFonts w:hint="eastAsia" w:asciiTheme="minorEastAsia" w:hAnsiTheme="minorEastAsia" w:eastAsiaTheme="minorEastAsia" w:cstheme="minorEastAsia"/>
                <w:b/>
                <w:color w:val="auto"/>
                <w:sz w:val="21"/>
                <w:szCs w:val="21"/>
              </w:rPr>
              <w:t>7.1.4</w:t>
            </w:r>
          </w:p>
          <w:p>
            <w:pPr>
              <w:pStyle w:val="8"/>
              <w:spacing w:line="360" w:lineRule="auto"/>
              <w:ind w:firstLine="0" w:firstLineChars="0"/>
              <w:rPr>
                <w:rFonts w:asciiTheme="minorEastAsia" w:hAnsiTheme="minorEastAsia" w:eastAsiaTheme="minorEastAsia" w:cstheme="minorEastAsia"/>
                <w:color w:val="auto"/>
                <w:sz w:val="21"/>
                <w:szCs w:val="21"/>
              </w:rPr>
            </w:pPr>
          </w:p>
        </w:tc>
        <w:tc>
          <w:tcPr>
            <w:tcW w:w="10738" w:type="dxa"/>
          </w:tcPr>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经与主管人员交谈，其对本部门在本条款管理中的职责、分工和接口关系清楚掌握，基本符合文件要求。</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公司定期举行旅游活动、体检，带薪休假等，已缓解员工的心理压力、过度疲劳等。</w:t>
            </w:r>
          </w:p>
          <w:p>
            <w:pPr>
              <w:pStyle w:val="8"/>
              <w:spacing w:line="360" w:lineRule="auto"/>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公司现场观察，公司办公场所和生产场所均环境良好，满足办公需要，无特殊环境要求。</w:t>
            </w:r>
          </w:p>
        </w:tc>
        <w:tc>
          <w:tcPr>
            <w:tcW w:w="85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2160" w:type="dxa"/>
          </w:tcPr>
          <w:p>
            <w:pPr>
              <w:pStyle w:val="8"/>
              <w:spacing w:line="360" w:lineRule="auto"/>
              <w:ind w:firstLine="0" w:firstLineChars="0"/>
              <w:jc w:val="both"/>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监视设备、测量设备</w:t>
            </w:r>
          </w:p>
          <w:p>
            <w:pPr>
              <w:pStyle w:val="8"/>
              <w:spacing w:line="360" w:lineRule="auto"/>
              <w:ind w:firstLine="0" w:firstLineChars="0"/>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（车间现场观察）</w:t>
            </w:r>
          </w:p>
        </w:tc>
        <w:tc>
          <w:tcPr>
            <w:tcW w:w="960" w:type="dxa"/>
          </w:tcPr>
          <w:p>
            <w:pPr>
              <w:pStyle w:val="8"/>
              <w:spacing w:line="360" w:lineRule="auto"/>
              <w:ind w:firstLine="0" w:firstLineChars="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 xml:space="preserve">Q </w:t>
            </w:r>
            <w:r>
              <w:rPr>
                <w:rFonts w:hint="eastAsia" w:asciiTheme="minorEastAsia" w:hAnsiTheme="minorEastAsia" w:eastAsiaTheme="minorEastAsia" w:cstheme="minorEastAsia"/>
                <w:b/>
                <w:color w:val="auto"/>
                <w:sz w:val="21"/>
                <w:szCs w:val="21"/>
              </w:rPr>
              <w:t>7.1.5</w:t>
            </w:r>
          </w:p>
          <w:p>
            <w:pPr>
              <w:pStyle w:val="8"/>
              <w:spacing w:line="360" w:lineRule="auto"/>
              <w:ind w:firstLine="0" w:firstLineChars="0"/>
              <w:rPr>
                <w:rFonts w:asciiTheme="minorEastAsia" w:hAnsiTheme="minorEastAsia" w:eastAsiaTheme="minorEastAsia" w:cstheme="minorEastAsia"/>
                <w:b/>
                <w:bCs/>
                <w:color w:val="auto"/>
                <w:sz w:val="21"/>
                <w:szCs w:val="21"/>
              </w:rPr>
            </w:pPr>
          </w:p>
        </w:tc>
        <w:tc>
          <w:tcPr>
            <w:tcW w:w="10738" w:type="dxa"/>
          </w:tcPr>
          <w:p>
            <w:pPr>
              <w:pStyle w:val="8"/>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生产车间的生产过程监视过程的监视设备，有锅炉、蒸汽釜的安全阀、压力表等，见证书均在有效期内，基本符合，具体详见附件。</w:t>
            </w:r>
          </w:p>
          <w:p>
            <w:pPr>
              <w:pStyle w:val="8"/>
              <w:spacing w:line="360" w:lineRule="auto"/>
              <w:ind w:firstLine="0" w:firstLineChars="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提供湖北省黄石市计量检定所3m钢卷尺检定证书，证书编号：20205231156，检定日期2020年12月23日</w:t>
            </w:r>
          </w:p>
          <w:p>
            <w:pPr>
              <w:pStyle w:val="8"/>
              <w:spacing w:line="360" w:lineRule="auto"/>
              <w:ind w:firstLine="0" w:firstLineChars="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提供湖北省大冶市市计量检定测试所YP5002电子天平检定证书，证书编号：力字第020303051，检定日期2020年12月8日</w:t>
            </w:r>
          </w:p>
          <w:p>
            <w:pPr>
              <w:spacing w:before="120" w:line="160" w:lineRule="exact"/>
              <w:rPr>
                <w:rFonts w:hint="default" w:asciiTheme="minorEastAsia" w:hAnsiTheme="minorEastAsia" w:eastAsiaTheme="minorEastAsia" w:cstheme="minorEastAsia"/>
                <w:b/>
                <w:color w:val="FF0000"/>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现场审核发现</w:t>
            </w:r>
            <w:r>
              <w:rPr>
                <w:rFonts w:hint="eastAsia" w:ascii="方正仿宋简体" w:eastAsia="方正仿宋简体"/>
                <w:b w:val="0"/>
                <w:bCs/>
                <w:color w:val="auto"/>
                <w:lang w:val="en-US" w:eastAsia="zh-CN"/>
              </w:rPr>
              <w:t>生产部不能提供配料所用电子秤检定（校准）证据。开具了不符合。</w:t>
            </w:r>
          </w:p>
        </w:tc>
        <w:tc>
          <w:tcPr>
            <w:tcW w:w="85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运行的策划和控制：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1、询问主管人员，如何识别，以什么形式识别。</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2、询问并核实策划的时机。</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3、询问如何确保一致。</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4、组织策划的输出形式是什么？</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查策划的输出，是否考虑了以下要求：B、质量目标和要求。b、针对产品确定过程文件的资源。c、策划服务所需的验证、确认、监视的接收准则。d、规定了哪些所需的记录。e、核查策划输出文件的适宜性和齐全性，是否符合文件控制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2、询问前述策划是否适合组织的运行方式？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3、组织针对产品和服务运行的策划是否更改及控制情况？</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i/>
                <w:iCs/>
                <w:szCs w:val="21"/>
              </w:rPr>
            </w:pPr>
            <w:r>
              <w:rPr>
                <w:rFonts w:hint="eastAsia" w:asciiTheme="minorEastAsia" w:hAnsiTheme="minorEastAsia" w:eastAsiaTheme="minorEastAsia" w:cstheme="minorEastAsia"/>
                <w:b/>
                <w:bCs/>
                <w:szCs w:val="21"/>
              </w:rPr>
              <w:t>Q8</w:t>
            </w:r>
            <w:r>
              <w:rPr>
                <w:rFonts w:hint="eastAsia" w:asciiTheme="minorEastAsia" w:hAnsiTheme="minorEastAsia" w:eastAsiaTheme="minorEastAsia" w:cstheme="minorEastAsia"/>
                <w:b/>
                <w:szCs w:val="21"/>
              </w:rPr>
              <w:t>.1</w:t>
            </w:r>
          </w:p>
          <w:p>
            <w:pPr>
              <w:pStyle w:val="8"/>
              <w:spacing w:line="360" w:lineRule="auto"/>
              <w:rPr>
                <w:rFonts w:asciiTheme="minorEastAsia" w:hAnsiTheme="minorEastAsia" w:eastAsiaTheme="minorEastAsia" w:cstheme="minorEastAsia"/>
                <w:i/>
                <w:iCs/>
                <w:color w:val="auto"/>
                <w:sz w:val="21"/>
                <w:szCs w:val="21"/>
                <w:u w:val="wave"/>
              </w:rPr>
            </w:pPr>
          </w:p>
          <w:p>
            <w:pPr>
              <w:pStyle w:val="8"/>
              <w:spacing w:line="360" w:lineRule="auto"/>
              <w:rPr>
                <w:rFonts w:asciiTheme="minorEastAsia" w:hAnsiTheme="minorEastAsia" w:eastAsiaTheme="minorEastAsia" w:cstheme="minorEastAsia"/>
                <w:i/>
                <w:iCs/>
                <w:color w:val="auto"/>
                <w:sz w:val="21"/>
                <w:szCs w:val="21"/>
                <w:u w:val="wave"/>
              </w:rPr>
            </w:pPr>
          </w:p>
          <w:p>
            <w:pPr>
              <w:pStyle w:val="8"/>
              <w:spacing w:line="360" w:lineRule="auto"/>
              <w:ind w:firstLine="0" w:firstLineChars="0"/>
              <w:rPr>
                <w:rFonts w:asciiTheme="minorEastAsia" w:hAnsiTheme="minorEastAsia" w:eastAsiaTheme="minorEastAsia" w:cstheme="minorEastAsia"/>
                <w:bCs/>
                <w:i/>
                <w:iCs/>
                <w:color w:val="auto"/>
                <w:sz w:val="21"/>
                <w:szCs w:val="21"/>
              </w:rPr>
            </w:pPr>
          </w:p>
          <w:p>
            <w:pPr>
              <w:pStyle w:val="8"/>
              <w:spacing w:line="360" w:lineRule="auto"/>
              <w:ind w:firstLine="0" w:firstLineChars="0"/>
              <w:rPr>
                <w:rFonts w:asciiTheme="minorEastAsia" w:hAnsiTheme="minorEastAsia" w:eastAsiaTheme="minorEastAsia" w:cstheme="minorEastAsia"/>
                <w:bCs/>
                <w:i/>
                <w:iCs/>
                <w:color w:val="auto"/>
                <w:sz w:val="21"/>
                <w:szCs w:val="21"/>
              </w:rPr>
            </w:pPr>
          </w:p>
          <w:p>
            <w:pPr>
              <w:spacing w:line="360" w:lineRule="auto"/>
              <w:rPr>
                <w:rFonts w:asciiTheme="minorEastAsia" w:hAnsiTheme="minorEastAsia" w:eastAsiaTheme="minorEastAsia" w:cstheme="minorEastAsia"/>
                <w:szCs w:val="21"/>
              </w:rPr>
            </w:pPr>
          </w:p>
        </w:tc>
        <w:tc>
          <w:tcPr>
            <w:tcW w:w="10738" w:type="dxa"/>
          </w:tcPr>
          <w:p>
            <w:pPr>
              <w:pStyle w:val="8"/>
              <w:numPr>
                <w:ilvl w:val="0"/>
                <w:numId w:val="1"/>
              </w:numPr>
              <w:spacing w:line="360" w:lineRule="auto"/>
              <w:ind w:firstLine="0" w:firstLineChars="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范围：</w:t>
            </w:r>
          </w:p>
          <w:p>
            <w:pPr>
              <w:spacing w:line="360" w:lineRule="auto"/>
              <w:rPr>
                <w:rFonts w:asciiTheme="minorEastAsia" w:hAnsiTheme="minorEastAsia" w:eastAsiaTheme="minorEastAsia" w:cstheme="minorEastAsia"/>
                <w:b w:val="0"/>
                <w:bCs/>
                <w:szCs w:val="21"/>
              </w:rPr>
            </w:pPr>
            <w:r>
              <w:rPr>
                <w:rFonts w:asciiTheme="minorEastAsia" w:hAnsiTheme="minorEastAsia" w:eastAsiaTheme="minorEastAsia" w:cstheme="minorEastAsia"/>
                <w:b w:val="0"/>
                <w:bCs/>
                <w:szCs w:val="21"/>
              </w:rPr>
              <w:t>QMS</w:t>
            </w:r>
            <w:r>
              <w:rPr>
                <w:rFonts w:hint="eastAsia" w:asciiTheme="minorEastAsia" w:hAnsiTheme="minorEastAsia" w:eastAsiaTheme="minorEastAsia" w:cstheme="minorEastAsia"/>
                <w:b w:val="0"/>
                <w:bCs/>
                <w:szCs w:val="21"/>
              </w:rPr>
              <w:t>: 蒸压加气混凝土砌块的生产及销售</w:t>
            </w:r>
            <w:r>
              <w:rPr>
                <w:rFonts w:asciiTheme="minorEastAsia" w:hAnsiTheme="minorEastAsia" w:eastAsiaTheme="minorEastAsia" w:cstheme="minorEastAsia"/>
                <w:b w:val="0"/>
                <w:bCs/>
                <w:szCs w:val="21"/>
              </w:rPr>
              <w:t xml:space="preserve"> </w:t>
            </w:r>
          </w:p>
          <w:p>
            <w:pPr>
              <w:spacing w:line="360" w:lineRule="auto"/>
              <w:rPr>
                <w:rFonts w:asciiTheme="minorEastAsia" w:hAnsiTheme="minorEastAsia" w:eastAsiaTheme="minorEastAsia" w:cstheme="minorEastAsia"/>
                <w:b w:val="0"/>
                <w:bCs/>
                <w:szCs w:val="21"/>
              </w:rPr>
            </w:pPr>
            <w:r>
              <w:rPr>
                <w:rFonts w:asciiTheme="minorEastAsia" w:hAnsiTheme="minorEastAsia" w:eastAsiaTheme="minorEastAsia" w:cstheme="minorEastAsia"/>
                <w:b w:val="0"/>
                <w:bCs/>
                <w:szCs w:val="21"/>
              </w:rPr>
              <w:t xml:space="preserve">EMS: </w:t>
            </w:r>
            <w:r>
              <w:rPr>
                <w:rFonts w:hint="eastAsia" w:asciiTheme="minorEastAsia" w:hAnsiTheme="minorEastAsia" w:eastAsiaTheme="minorEastAsia" w:cstheme="minorEastAsia"/>
                <w:b w:val="0"/>
                <w:bCs/>
                <w:szCs w:val="21"/>
              </w:rPr>
              <w:t>蒸压加气混凝土砌块的生产及销售</w:t>
            </w:r>
            <w:r>
              <w:rPr>
                <w:b w:val="0"/>
                <w:bCs/>
                <w:sz w:val="20"/>
              </w:rPr>
              <w:t>所涉及的</w:t>
            </w:r>
            <w:r>
              <w:rPr>
                <w:rFonts w:hint="eastAsia" w:asciiTheme="minorEastAsia" w:hAnsiTheme="minorEastAsia" w:eastAsiaTheme="minorEastAsia" w:cstheme="minorEastAsia"/>
                <w:b w:val="0"/>
                <w:bCs/>
                <w:szCs w:val="21"/>
              </w:rPr>
              <w:t>环境管理活动</w:t>
            </w:r>
            <w:r>
              <w:rPr>
                <w:rFonts w:asciiTheme="minorEastAsia" w:hAnsiTheme="minorEastAsia" w:eastAsiaTheme="minorEastAsia" w:cstheme="minorEastAsia"/>
                <w:b w:val="0"/>
                <w:bCs/>
                <w:szCs w:val="21"/>
              </w:rPr>
              <w:t xml:space="preserve"> </w:t>
            </w:r>
          </w:p>
          <w:p>
            <w:pPr>
              <w:spacing w:line="360" w:lineRule="auto"/>
              <w:rPr>
                <w:rFonts w:asciiTheme="minorEastAsia" w:hAnsiTheme="minorEastAsia" w:eastAsiaTheme="minorEastAsia" w:cstheme="minorEastAsia"/>
                <w:b w:val="0"/>
                <w:bCs/>
                <w:szCs w:val="21"/>
              </w:rPr>
            </w:pPr>
            <w:r>
              <w:rPr>
                <w:rFonts w:asciiTheme="minorEastAsia" w:hAnsiTheme="minorEastAsia" w:eastAsiaTheme="minorEastAsia" w:cstheme="minorEastAsia"/>
                <w:b w:val="0"/>
                <w:bCs/>
                <w:szCs w:val="21"/>
              </w:rPr>
              <w:t xml:space="preserve">OHSMS: </w:t>
            </w:r>
            <w:r>
              <w:rPr>
                <w:rFonts w:hint="eastAsia" w:asciiTheme="minorEastAsia" w:hAnsiTheme="minorEastAsia" w:eastAsiaTheme="minorEastAsia" w:cstheme="minorEastAsia"/>
                <w:b w:val="0"/>
                <w:bCs/>
                <w:szCs w:val="21"/>
              </w:rPr>
              <w:t>蒸压加气混凝土砌块的生产及销售</w:t>
            </w:r>
            <w:r>
              <w:rPr>
                <w:b w:val="0"/>
                <w:bCs/>
                <w:sz w:val="20"/>
              </w:rPr>
              <w:t>所涉及的</w:t>
            </w:r>
            <w:r>
              <w:rPr>
                <w:rFonts w:hint="eastAsia" w:asciiTheme="minorEastAsia" w:hAnsiTheme="minorEastAsia" w:eastAsiaTheme="minorEastAsia" w:cstheme="minorEastAsia"/>
                <w:b w:val="0"/>
                <w:bCs/>
                <w:szCs w:val="21"/>
              </w:rPr>
              <w:t>职业健康安全管理活动</w:t>
            </w: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2、管理方针：</w:t>
            </w:r>
          </w:p>
          <w:p>
            <w:pPr>
              <w:spacing w:line="440" w:lineRule="exact"/>
              <w:rPr>
                <w:szCs w:val="21"/>
              </w:rPr>
            </w:pPr>
            <w:r>
              <w:rPr>
                <w:rFonts w:hint="eastAsia"/>
                <w:szCs w:val="21"/>
              </w:rPr>
              <w:t>公司的质量、环境和职业健康安全的方针：</w:t>
            </w:r>
          </w:p>
          <w:p>
            <w:pPr>
              <w:spacing w:line="360" w:lineRule="auto"/>
              <w:ind w:firstLine="420" w:firstLineChars="200"/>
              <w:rPr>
                <w:rStyle w:val="12"/>
                <w:rFonts w:hint="eastAsia" w:ascii="宋体" w:hAnsi="宋体" w:eastAsia="宋体" w:cs="宋体"/>
                <w:b w:val="0"/>
                <w:bCs w:val="0"/>
                <w:color w:val="000000"/>
                <w:sz w:val="21"/>
                <w:szCs w:val="21"/>
              </w:rPr>
            </w:pPr>
            <w:r>
              <w:rPr>
                <w:rStyle w:val="12"/>
                <w:rFonts w:hint="eastAsia" w:ascii="宋体" w:hAnsi="宋体" w:eastAsia="宋体" w:cs="宋体"/>
                <w:b w:val="0"/>
                <w:bCs w:val="0"/>
                <w:color w:val="000000"/>
                <w:sz w:val="21"/>
                <w:szCs w:val="21"/>
              </w:rPr>
              <w:t>技术领航，顾客满意；节能降耗，保护环境；</w:t>
            </w:r>
          </w:p>
          <w:p>
            <w:pPr>
              <w:spacing w:line="360" w:lineRule="auto"/>
              <w:ind w:firstLine="420" w:firstLineChars="200"/>
              <w:rPr>
                <w:rFonts w:hint="eastAsia" w:ascii="宋体" w:hAnsi="宋体" w:eastAsia="宋体" w:cs="宋体"/>
                <w:b w:val="0"/>
                <w:bCs w:val="0"/>
                <w:sz w:val="21"/>
                <w:szCs w:val="21"/>
              </w:rPr>
            </w:pPr>
            <w:r>
              <w:rPr>
                <w:rStyle w:val="12"/>
                <w:rFonts w:hint="eastAsia" w:ascii="宋体" w:hAnsi="宋体" w:eastAsia="宋体" w:cs="宋体"/>
                <w:b w:val="0"/>
                <w:bCs w:val="0"/>
                <w:color w:val="000000"/>
                <w:sz w:val="21"/>
                <w:szCs w:val="21"/>
              </w:rPr>
              <w:t>健康安全，诚信守法；规范管理，持续改进</w:t>
            </w:r>
          </w:p>
          <w:p>
            <w:pPr>
              <w:spacing w:line="440" w:lineRule="exact"/>
              <w:rPr>
                <w:sz w:val="24"/>
                <w:szCs w:val="24"/>
              </w:rPr>
            </w:pPr>
            <w:r>
              <w:rPr>
                <w:rFonts w:hint="eastAsia"/>
                <w:sz w:val="24"/>
                <w:szCs w:val="24"/>
              </w:rPr>
              <w:t>管理目标：</w:t>
            </w:r>
          </w:p>
          <w:p>
            <w:pPr>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公司质量目标：</w:t>
            </w:r>
          </w:p>
          <w:p>
            <w:pPr>
              <w:tabs>
                <w:tab w:val="left" w:pos="358"/>
              </w:tabs>
              <w:ind w:firstLine="630" w:firstLineChars="300"/>
              <w:jc w:val="left"/>
              <w:rPr>
                <w:rFonts w:hint="eastAsia" w:ascii="宋体" w:hAnsi="宋体" w:eastAsia="宋体" w:cs="宋体"/>
                <w:b w:val="0"/>
                <w:bCs/>
                <w:sz w:val="21"/>
                <w:szCs w:val="21"/>
              </w:rPr>
            </w:pPr>
            <w:r>
              <w:rPr>
                <w:rFonts w:hint="eastAsia" w:ascii="宋体" w:hAnsi="宋体" w:eastAsia="宋体" w:cs="宋体"/>
                <w:b w:val="0"/>
                <w:bCs/>
                <w:sz w:val="21"/>
                <w:szCs w:val="21"/>
              </w:rPr>
              <w:t>1产品合格率100%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2生产质量水平达到100%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3顾客满意度95%</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4合同履行率100%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5设备完好率95%</w:t>
            </w:r>
          </w:p>
          <w:p>
            <w:pPr>
              <w:rPr>
                <w:rFonts w:hint="eastAsia" w:ascii="宋体" w:hAnsi="宋体" w:eastAsia="宋体" w:cs="宋体"/>
                <w:b w:val="0"/>
                <w:bCs/>
                <w:sz w:val="21"/>
                <w:szCs w:val="21"/>
              </w:rPr>
            </w:pPr>
          </w:p>
          <w:p>
            <w:pPr>
              <w:ind w:firstLine="105" w:firstLineChars="50"/>
              <w:rPr>
                <w:rFonts w:hint="eastAsia" w:ascii="宋体" w:hAnsi="宋体" w:eastAsia="宋体" w:cs="宋体"/>
                <w:b w:val="0"/>
                <w:bCs/>
                <w:sz w:val="21"/>
                <w:szCs w:val="21"/>
              </w:rPr>
            </w:pPr>
            <w:r>
              <w:rPr>
                <w:rFonts w:hint="eastAsia" w:ascii="宋体" w:hAnsi="宋体" w:eastAsia="宋体" w:cs="宋体"/>
                <w:b w:val="0"/>
                <w:bCs/>
                <w:sz w:val="21"/>
                <w:szCs w:val="21"/>
              </w:rPr>
              <w:t>公司环境目标：</w:t>
            </w:r>
          </w:p>
          <w:p>
            <w:pPr>
              <w:widowControl/>
              <w:autoSpaceDE w:val="0"/>
              <w:autoSpaceDN w:val="0"/>
              <w:adjustRightInd w:val="0"/>
              <w:spacing w:before="76"/>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 生产中噪声、粉尘达到零排放；</w:t>
            </w:r>
          </w:p>
          <w:p>
            <w:pPr>
              <w:widowControl/>
              <w:autoSpaceDE w:val="0"/>
              <w:autoSpaceDN w:val="0"/>
              <w:adjustRightInd w:val="0"/>
              <w:spacing w:before="11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 生产产生的固体废物，100%回用。</w:t>
            </w:r>
          </w:p>
          <w:p>
            <w:pPr>
              <w:widowControl/>
              <w:autoSpaceDE w:val="0"/>
              <w:autoSpaceDN w:val="0"/>
              <w:adjustRightInd w:val="0"/>
              <w:spacing w:before="110"/>
              <w:ind w:firstLine="105" w:firstLineChars="5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公司职业健康安全目标：</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1 劳动保护用品及时发放，发放率为100％ 。</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2 预防职业病，病发率为零。</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3 安全事故零发生率。</w:t>
            </w:r>
          </w:p>
          <w:p>
            <w:pPr>
              <w:numPr>
                <w:ilvl w:val="0"/>
                <w:numId w:val="2"/>
              </w:num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产品主要执行标准摘抄：</w:t>
            </w:r>
          </w:p>
          <w:p>
            <w:pPr>
              <w:pStyle w:val="2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主席令第6号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中华人民共和国消防法</w:t>
            </w:r>
          </w:p>
          <w:p>
            <w:pPr>
              <w:pStyle w:val="2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主席令第22号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中华人民共和国环境保护法</w:t>
            </w:r>
          </w:p>
          <w:p>
            <w:pPr>
              <w:pStyle w:val="2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主席令第70号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中华人民共和国安全生产法</w:t>
            </w:r>
          </w:p>
          <w:p>
            <w:pPr>
              <w:pStyle w:val="20"/>
              <w:spacing w:line="360" w:lineRule="auto"/>
              <w:rPr>
                <w:rFonts w:asciiTheme="minorEastAsia" w:hAnsiTheme="minorEastAsia" w:eastAsiaTheme="minorEastAsia" w:cstheme="minorEastAsia"/>
                <w:szCs w:val="21"/>
              </w:rPr>
            </w:pPr>
            <w:r>
              <w:rPr>
                <w:rStyle w:val="23"/>
                <w:szCs w:val="21"/>
              </w:rPr>
              <w:t>中华人民共和国产品质量法</w:t>
            </w:r>
          </w:p>
          <w:p>
            <w:pPr>
              <w:pStyle w:val="2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《蒸压加气混凝士砌块标准》 GB11968-2006</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bCs/>
                <w:szCs w:val="21"/>
              </w:rPr>
              <w:t>销售流程</w:t>
            </w:r>
            <w:r>
              <w:rPr>
                <w:rFonts w:hint="eastAsia" w:asciiTheme="minorEastAsia" w:hAnsiTheme="minorEastAsia" w:eastAsiaTheme="minorEastAsia" w:cstheme="minorEastAsia"/>
                <w:bCs/>
                <w:szCs w:val="21"/>
              </w:rPr>
              <w:t>：顾客沟通—合同评审—合同/订单签订—产品采购—产品验证—交付—售后服务</w:t>
            </w:r>
          </w:p>
          <w:p>
            <w:pPr>
              <w:spacing w:line="360" w:lineRule="auto"/>
              <w:jc w:val="left"/>
              <w:rPr>
                <w:rFonts w:asciiTheme="minorEastAsia" w:hAnsiTheme="minorEastAsia" w:eastAsiaTheme="minorEastAsia" w:cstheme="minorEastAsia"/>
                <w:b/>
                <w:szCs w:val="21"/>
              </w:rPr>
            </w:pPr>
            <w:r>
              <w:rPr>
                <w:rFonts w:hint="eastAsia" w:ascii="宋体" w:hAnsi="宋体"/>
                <w:b/>
                <w:color w:val="000000"/>
                <w:szCs w:val="21"/>
              </w:rPr>
              <w:t>5、</w:t>
            </w:r>
            <w:r>
              <w:rPr>
                <w:rFonts w:hint="eastAsia" w:asciiTheme="minorEastAsia" w:hAnsiTheme="minorEastAsia" w:eastAsiaTheme="minorEastAsia" w:cstheme="minorEastAsia"/>
                <w:b/>
                <w:szCs w:val="21"/>
              </w:rPr>
              <w:t>产品生产工艺</w:t>
            </w:r>
            <w:r>
              <w:rPr>
                <w:rFonts w:asciiTheme="minorEastAsia" w:hAnsiTheme="minorEastAsia" w:eastAsiaTheme="minorEastAsia" w:cstheme="minorEastAsia"/>
                <w:b/>
                <w:szCs w:val="21"/>
              </w:rPr>
              <w:t>/</w:t>
            </w:r>
            <w:r>
              <w:rPr>
                <w:rFonts w:hint="eastAsia" w:asciiTheme="minorEastAsia" w:hAnsiTheme="minorEastAsia" w:eastAsiaTheme="minorEastAsia" w:cstheme="minorEastAsia"/>
                <w:b/>
                <w:szCs w:val="21"/>
              </w:rPr>
              <w:t>服务提供流程为：</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原材料制备（球磨 磨浆）——配料（中控室自动）——搅拌（铝粉 石灰 水泥）——浇注——静养（根据胚体的软硬度进行识别2-3小时）——切割（数控切割机）——蒸养——成品入库堆放</w:t>
            </w:r>
          </w:p>
          <w:p>
            <w:pPr>
              <w:spacing w:line="360" w:lineRule="auto"/>
              <w:ind w:firstLine="316"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关键过程：</w:t>
            </w:r>
            <w:r>
              <w:rPr>
                <w:rFonts w:hint="eastAsia" w:asciiTheme="minorEastAsia" w:hAnsiTheme="minorEastAsia" w:eastAsiaTheme="minorEastAsia" w:cstheme="minorEastAsia"/>
                <w:szCs w:val="21"/>
              </w:rPr>
              <w:t xml:space="preserve">配料——控制硅钙比例 </w:t>
            </w:r>
          </w:p>
          <w:p>
            <w:pPr>
              <w:spacing w:line="360" w:lineRule="auto"/>
              <w:ind w:firstLine="315"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需确认过程：蒸养——控制硅钙比例在高温高压下充分发生化学反应。</w:t>
            </w:r>
          </w:p>
          <w:p>
            <w:pPr>
              <w:numPr>
                <w:ilvl w:val="3"/>
                <w:numId w:val="0"/>
              </w:numPr>
              <w:spacing w:line="360" w:lineRule="auto"/>
              <w:ind w:firstLine="210" w:firstLineChars="100"/>
              <w:rPr>
                <w:szCs w:val="21"/>
              </w:rPr>
            </w:pPr>
            <w:r>
              <w:rPr>
                <w:rStyle w:val="23"/>
                <w:rFonts w:hint="eastAsia"/>
                <w:szCs w:val="21"/>
              </w:rPr>
              <w:t>制定了《配料</w:t>
            </w:r>
            <w:r>
              <w:rPr>
                <w:rFonts w:hint="eastAsia" w:ascii="宋体" w:hAnsi="宋体"/>
                <w:szCs w:val="21"/>
              </w:rPr>
              <w:t>工艺规程</w:t>
            </w:r>
            <w:r>
              <w:rPr>
                <w:rStyle w:val="23"/>
                <w:rFonts w:hint="eastAsia"/>
                <w:szCs w:val="21"/>
              </w:rPr>
              <w:t>》、《蒸养</w:t>
            </w:r>
            <w:r>
              <w:rPr>
                <w:rFonts w:hint="eastAsia" w:ascii="宋体" w:hAnsi="宋体"/>
                <w:szCs w:val="21"/>
              </w:rPr>
              <w:t>工艺规程</w:t>
            </w:r>
            <w:r>
              <w:rPr>
                <w:rStyle w:val="23"/>
                <w:rFonts w:hint="eastAsia"/>
                <w:szCs w:val="21"/>
              </w:rPr>
              <w:t>》、《检验规程》等，并进行了过程确认，并见《质量控制点原始记录》，详见8.5.1记录条款；</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6、为实现产品质量目标配置了相应人员</w:t>
            </w:r>
            <w:r>
              <w:rPr>
                <w:rFonts w:hint="eastAsia" w:asciiTheme="minorEastAsia" w:hAnsiTheme="minorEastAsia" w:eastAsiaTheme="minorEastAsia" w:cstheme="minorEastAsia"/>
                <w:szCs w:val="21"/>
              </w:rPr>
              <w:t>（如</w:t>
            </w:r>
            <w:r>
              <w:rPr>
                <w:rFonts w:hint="eastAsia" w:ascii="宋体" w:hAnsi="宋体"/>
                <w:szCs w:val="21"/>
              </w:rPr>
              <w:t>生产、</w:t>
            </w:r>
            <w:r>
              <w:rPr>
                <w:rFonts w:hint="eastAsia" w:asciiTheme="minorEastAsia" w:hAnsiTheme="minorEastAsia" w:eastAsiaTheme="minorEastAsia" w:cstheme="minorEastAsia"/>
                <w:szCs w:val="21"/>
              </w:rPr>
              <w:t>技术、</w:t>
            </w:r>
            <w:r>
              <w:rPr>
                <w:rFonts w:hint="eastAsia" w:ascii="宋体" w:hAnsi="宋体"/>
                <w:szCs w:val="21"/>
              </w:rPr>
              <w:t>销售</w:t>
            </w:r>
            <w:r>
              <w:rPr>
                <w:rFonts w:hint="eastAsia" w:asciiTheme="minorEastAsia" w:hAnsiTheme="minorEastAsia" w:eastAsiaTheme="minorEastAsia" w:cstheme="minorEastAsia"/>
                <w:szCs w:val="21"/>
              </w:rPr>
              <w:t>服务人员，上岗前经过岗前培训，销售人员及生产人员均经过专业培训等)，</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
                <w:bCs/>
                <w:szCs w:val="21"/>
              </w:rPr>
              <w:t>生产设备有</w:t>
            </w:r>
            <w:r>
              <w:rPr>
                <w:rFonts w:hint="eastAsia" w:asciiTheme="minorEastAsia" w:hAnsiTheme="minorEastAsia" w:eastAsiaTheme="minorEastAsia" w:cstheme="minorEastAsia"/>
                <w:bCs/>
                <w:szCs w:val="21"/>
              </w:rPr>
              <w:t>：配料系统、斗式提升机、石灰仓、水膜除尘处理装置、水泥仓、1245球磨机、储浆罐、 浇注摆渡车5.0×2.604×0.389m、翻转吊具2500×1840×1602mm、半成品吊具2600×1950×1706mm、切割机4.08×1.2m、侧板辊台、模具4580×1420×290mm、蒸养车4424×1420×200mm 、锅炉4T、 蒸压釜Q2.0×31.5m、废浆搅拌机、储浆搅拌机、制浆搅拌机、配浆搅拌机、皮带输送机等，基本满足生产要求。</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特种设备：</w:t>
            </w: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 xml:space="preserve">环保设备/安全设施配置: </w:t>
            </w:r>
            <w:r>
              <w:rPr>
                <w:rFonts w:hint="eastAsia" w:asciiTheme="minorEastAsia" w:hAnsiTheme="minorEastAsia" w:eastAsiaTheme="minorEastAsia" w:cstheme="minorEastAsia"/>
                <w:bCs/>
                <w:szCs w:val="21"/>
              </w:rPr>
              <w:t>水膜除尘处理装置、碱液循环水、生物质蒸汽锅炉（煤改生物质）、灭火器、消防器材、标识牌、隔音、绿化、垃圾桶、垃圾箱等，生产部定期维护与保养。</w:t>
            </w:r>
          </w:p>
          <w:p>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办公设备</w:t>
            </w:r>
            <w:r>
              <w:rPr>
                <w:rFonts w:hint="eastAsia" w:asciiTheme="minorEastAsia" w:hAnsiTheme="minorEastAsia" w:eastAsiaTheme="minorEastAsia" w:cstheme="minorEastAsia"/>
                <w:bCs/>
                <w:szCs w:val="21"/>
              </w:rPr>
              <w:t>：公司根据的需要，配备了行政办公用房及通讯、信息系统等基础设施， 并配备有办公桌椅，水电、空调、会议室、消防设施设备，并有电脑、打印机、电话、传真机、复印机等办公设备；满足办公需要。</w:t>
            </w:r>
          </w:p>
          <w:p>
            <w:pPr>
              <w:pStyle w:val="22"/>
              <w:numPr>
                <w:ilvl w:val="0"/>
                <w:numId w:val="3"/>
              </w:numPr>
              <w:spacing w:line="360"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编制了相应的作业文件：</w:t>
            </w:r>
          </w:p>
          <w:p>
            <w:pPr>
              <w:numPr>
                <w:ilvl w:val="3"/>
                <w:numId w:val="0"/>
              </w:numPr>
              <w:spacing w:line="360" w:lineRule="auto"/>
              <w:ind w:firstLine="315" w:firstLineChars="150"/>
              <w:rPr>
                <w:szCs w:val="21"/>
              </w:rPr>
            </w:pPr>
            <w:r>
              <w:rPr>
                <w:rStyle w:val="23"/>
                <w:rFonts w:hint="eastAsia"/>
                <w:szCs w:val="21"/>
              </w:rPr>
              <w:t>《配料</w:t>
            </w:r>
            <w:r>
              <w:rPr>
                <w:rFonts w:hint="eastAsia" w:ascii="宋体" w:hAnsi="宋体"/>
                <w:szCs w:val="21"/>
              </w:rPr>
              <w:t>工艺规程</w:t>
            </w:r>
            <w:r>
              <w:rPr>
                <w:rStyle w:val="23"/>
                <w:rFonts w:hint="eastAsia"/>
                <w:szCs w:val="21"/>
              </w:rPr>
              <w:t>》、《蒸养</w:t>
            </w:r>
            <w:r>
              <w:rPr>
                <w:rFonts w:hint="eastAsia" w:ascii="宋体" w:hAnsi="宋体"/>
                <w:szCs w:val="21"/>
              </w:rPr>
              <w:t>工艺规程</w:t>
            </w:r>
            <w:r>
              <w:rPr>
                <w:rStyle w:val="23"/>
                <w:rFonts w:hint="eastAsia"/>
                <w:szCs w:val="21"/>
              </w:rPr>
              <w:t>》、《</w:t>
            </w:r>
            <w:r>
              <w:rPr>
                <w:rFonts w:hint="eastAsia" w:asciiTheme="minorEastAsia" w:hAnsiTheme="minorEastAsia" w:eastAsiaTheme="minorEastAsia" w:cstheme="minorEastAsia"/>
                <w:szCs w:val="21"/>
              </w:rPr>
              <w:t>安全生产目标管理制度</w:t>
            </w:r>
            <w:r>
              <w:rPr>
                <w:rStyle w:val="23"/>
                <w:rFonts w:hint="eastAsia"/>
                <w:szCs w:val="21"/>
              </w:rPr>
              <w:t>》</w:t>
            </w:r>
            <w:r>
              <w:rPr>
                <w:rFonts w:hint="eastAsia" w:asciiTheme="minorEastAsia" w:hAnsiTheme="minorEastAsia" w:eastAsiaTheme="minorEastAsia" w:cstheme="minorEastAsia"/>
                <w:szCs w:val="21"/>
              </w:rPr>
              <w:t>、《安全管理机构设置及人员配备规定</w:t>
            </w:r>
            <w:r>
              <w:rPr>
                <w:rStyle w:val="23"/>
                <w:rFonts w:hint="eastAsia"/>
                <w:szCs w:val="21"/>
              </w:rPr>
              <w:t>》</w:t>
            </w:r>
            <w:r>
              <w:rPr>
                <w:rFonts w:hint="eastAsia" w:asciiTheme="minorEastAsia" w:hAnsiTheme="minorEastAsia" w:eastAsiaTheme="minorEastAsia" w:cstheme="minorEastAsia"/>
                <w:szCs w:val="21"/>
              </w:rPr>
              <w:t>、《安全教育培训制度</w:t>
            </w:r>
            <w:r>
              <w:rPr>
                <w:rStyle w:val="23"/>
                <w:rFonts w:hint="eastAsia"/>
                <w:szCs w:val="21"/>
              </w:rPr>
              <w:t>》</w:t>
            </w:r>
            <w:r>
              <w:rPr>
                <w:rFonts w:hint="eastAsia" w:asciiTheme="minorEastAsia" w:hAnsiTheme="minorEastAsia" w:eastAsiaTheme="minorEastAsia" w:cstheme="minorEastAsia"/>
                <w:szCs w:val="21"/>
              </w:rPr>
              <w:t>、《特种作业人员管理制度</w:t>
            </w:r>
            <w:r>
              <w:rPr>
                <w:rStyle w:val="23"/>
                <w:rFonts w:hint="eastAsia"/>
                <w:szCs w:val="21"/>
              </w:rPr>
              <w:t>》</w:t>
            </w:r>
            <w:r>
              <w:rPr>
                <w:rFonts w:hint="eastAsia" w:asciiTheme="minorEastAsia" w:hAnsiTheme="minorEastAsia" w:eastAsiaTheme="minorEastAsia" w:cstheme="minorEastAsia"/>
                <w:szCs w:val="21"/>
              </w:rPr>
              <w:t>、《事故管理制度</w:t>
            </w:r>
            <w:r>
              <w:rPr>
                <w:rStyle w:val="23"/>
                <w:rFonts w:hint="eastAsia"/>
                <w:szCs w:val="21"/>
              </w:rPr>
              <w:t>》</w:t>
            </w:r>
            <w:r>
              <w:rPr>
                <w:rFonts w:hint="eastAsia" w:asciiTheme="minorEastAsia" w:hAnsiTheme="minorEastAsia" w:eastAsiaTheme="minorEastAsia" w:cstheme="minorEastAsia"/>
                <w:szCs w:val="21"/>
              </w:rPr>
              <w:t>、《事故应急救援管理制度</w:t>
            </w:r>
            <w:r>
              <w:rPr>
                <w:rStyle w:val="23"/>
                <w:rFonts w:hint="eastAsia"/>
                <w:szCs w:val="21"/>
              </w:rPr>
              <w:t>》</w:t>
            </w:r>
            <w:r>
              <w:rPr>
                <w:rFonts w:hint="eastAsia" w:asciiTheme="minorEastAsia" w:hAnsiTheme="minorEastAsia" w:eastAsiaTheme="minorEastAsia" w:cstheme="minorEastAsia"/>
                <w:szCs w:val="21"/>
              </w:rPr>
              <w:t>、《监视测量设备 器具管理制度》等；</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9.接收准则:依据验收交付规范、合同、相关标准、用户要求等进行接收，以保证交付的产品满足要求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10、记录：策划有委托设计合同、内部审核检查表、首末次会议记录、特殊过程确认记录、生产过程记录、检验记录等，基本满足产品实现需要。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目前策划基本充分。</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服务提供的控制，所涉及的产品范围？资质和相关要求？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抽查某些过程，判断组织是否经过策划，确保上述每一种产品的控制过程处于受控状态？</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(1)该过程是否能获得表述产品特性的息如质量计划、生产计划、产品合同、图纸等？</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(2)该过程是否获得相应的作业指导文件，抽查文件内容是否充分、正确？如规范、工艺文件等。</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（3）监视和测量资源的适宜情况？精度及检定情况？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实施监视和测量的活动是否适宜，是否满足准则的要求？</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（4）基础设施和运行质量的适宜情况？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人员配备是否适宜，是否满足资格要求？</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（5）对生产和服务策划能力的确认和定期确认情况？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是否采取措施防止人为错误？</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（6）查特殊过程的控制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（7）实施放行、交付和交付后活动？</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8.5.1</w:t>
            </w:r>
          </w:p>
        </w:tc>
        <w:tc>
          <w:tcPr>
            <w:tcW w:w="10738" w:type="dxa"/>
          </w:tcPr>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生产部负责人：</w:t>
            </w:r>
            <w:r>
              <w:rPr>
                <w:rFonts w:hint="eastAsia" w:asciiTheme="minorEastAsia" w:hAnsiTheme="minorEastAsia" w:eastAsiaTheme="minorEastAsia" w:cstheme="minorEastAsia"/>
                <w:szCs w:val="21"/>
                <w:lang w:val="en-US" w:eastAsia="zh-CN"/>
              </w:rPr>
              <w:t>曹志敏</w:t>
            </w:r>
            <w:r>
              <w:rPr>
                <w:rFonts w:hint="eastAsia" w:asciiTheme="minorEastAsia" w:hAnsiTheme="minorEastAsia" w:eastAsiaTheme="minorEastAsia" w:cstheme="minorEastAsia"/>
                <w:szCs w:val="21"/>
              </w:rPr>
              <w:t xml:space="preserve"> 。公司质量手册规定：生产部是生产和服务过程控制的归口管理部门，负责生产和服务过程控制监督和指导，作业指导书的提供，并负责生产所需的设备资源；负责过程设备和工作环境、生产安全、标识和可追溯性、产品防护、不合格品管理、产品检验与放行、计量仪器与设备的管理以及交付后活动的管理和控制</w:t>
            </w:r>
          </w:p>
          <w:p>
            <w:pPr>
              <w:numPr>
                <w:ilvl w:val="0"/>
                <w:numId w:val="4"/>
              </w:num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（1）查20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11-12</w:t>
            </w:r>
            <w:r>
              <w:rPr>
                <w:rFonts w:hint="eastAsia" w:asciiTheme="minorEastAsia" w:hAnsiTheme="minorEastAsia" w:eastAsiaTheme="minorEastAsia" w:cstheme="minorEastAsia"/>
                <w:szCs w:val="21"/>
              </w:rPr>
              <w:t>月生产任务计划任务，包括：数量、日期等。销售任务单等，生产部下发。同时查到了的物料配比、生产作业指导书和质量检验指导书。</w:t>
            </w:r>
          </w:p>
          <w:p>
            <w:pPr>
              <w:numPr>
                <w:ilvl w:val="0"/>
                <w:numId w:val="0"/>
              </w:numPr>
              <w:spacing w:line="360" w:lineRule="auto"/>
              <w:jc w:val="left"/>
              <w:rPr>
                <w:rFonts w:hint="eastAsia" w:asciiTheme="minorEastAsia" w:hAnsiTheme="minorEastAsia" w:eastAsiaTheme="minorEastAsia" w:cstheme="minorEastAsia"/>
                <w:szCs w:val="21"/>
              </w:rPr>
            </w:pPr>
            <w:r>
              <w:drawing>
                <wp:inline distT="0" distB="0" distL="114300" distR="114300">
                  <wp:extent cx="6196330" cy="2945765"/>
                  <wp:effectExtent l="0" t="0" r="1270" b="63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1"/>
                          <a:stretch>
                            <a:fillRect/>
                          </a:stretch>
                        </pic:blipFill>
                        <pic:spPr>
                          <a:xfrm>
                            <a:off x="0" y="0"/>
                            <a:ext cx="6196330" cy="2945765"/>
                          </a:xfrm>
                          <a:prstGeom prst="rect">
                            <a:avLst/>
                          </a:prstGeom>
                          <a:noFill/>
                          <a:ln>
                            <a:noFill/>
                          </a:ln>
                        </pic:spPr>
                      </pic:pic>
                    </a:graphicData>
                  </a:graphic>
                </wp:inline>
              </w:drawing>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提供的质量特性文件见8.1条款。  </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车间现场观察：</w:t>
            </w:r>
          </w:p>
          <w:p>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分别与</w:t>
            </w:r>
            <w:r>
              <w:rPr>
                <w:rFonts w:hint="eastAsia" w:asciiTheme="minorEastAsia" w:hAnsiTheme="minorEastAsia" w:eastAsiaTheme="minorEastAsia" w:cstheme="minorEastAsia"/>
                <w:bCs/>
                <w:szCs w:val="21"/>
              </w:rPr>
              <w:t>配料系统、锅炉、蒸压釜</w:t>
            </w:r>
            <w:r>
              <w:rPr>
                <w:rFonts w:hint="eastAsia" w:asciiTheme="minorEastAsia" w:hAnsiTheme="minorEastAsia" w:eastAsiaTheme="minorEastAsia" w:cstheme="minorEastAsia"/>
                <w:szCs w:val="21"/>
              </w:rPr>
              <w:t>操作者江菊娥、刘书法、吴远扬、徐翠兰交谈，操作工熟悉操作流程，操作手法娴熟，同时现场提供了作业指导书等；符合要求。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市场调研、确定顾客的需求、确定产品的规格、性能、数量、送交采购、采购、根据销售部送交的产品信息和采购流程选择和评价供应商、确定供应商、将采购信息传达给供方、供应供货、对采购产品进行验证、验证合格后入库；库房：保管将合格产品进行登记入帐、进行必要的防护；销售：与客户进行沟通、将库房内的产品交付顾客、并提产品质量证明材料及其它售后服务条款、经顾客对产品进行确认、完成一次销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生产过程和最终检验规程，规定了检验项目、检验要求、质量记录等要求。 以上文件均为有效受控文件，并按其实施组织生产过程控制。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（4）公司制定有：基础设施和工作环境控制程序规定了设备管理要求、设备的保养、设备的检修等内容。主要设备日常生产中能够保证质量和效率，配备的设备是适宜的。</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“监视和测量设备台账”，包括</w:t>
            </w:r>
            <w:r>
              <w:rPr>
                <w:rFonts w:hint="eastAsia" w:asciiTheme="minorEastAsia" w:hAnsiTheme="minorEastAsia" w:eastAsiaTheme="minorEastAsia" w:cstheme="minorEastAsia"/>
                <w:bCs/>
                <w:szCs w:val="21"/>
              </w:rPr>
              <w:t>压力表、安全阀、电子天平、</w:t>
            </w:r>
            <w:r>
              <w:rPr>
                <w:rFonts w:hint="eastAsia" w:asciiTheme="minorEastAsia" w:hAnsiTheme="minorEastAsia" w:eastAsiaTheme="minorEastAsia" w:cstheme="minorEastAsia"/>
                <w:bCs/>
                <w:szCs w:val="21"/>
                <w:lang w:val="en-US" w:eastAsia="zh-CN"/>
              </w:rPr>
              <w:t>钢卷尺</w:t>
            </w:r>
            <w:r>
              <w:rPr>
                <w:rFonts w:hint="eastAsia" w:asciiTheme="minorEastAsia" w:hAnsiTheme="minorEastAsia" w:eastAsiaTheme="minorEastAsia" w:cstheme="minorEastAsia"/>
                <w:bCs/>
                <w:szCs w:val="21"/>
              </w:rPr>
              <w:t>等</w:t>
            </w:r>
            <w:r>
              <w:rPr>
                <w:rFonts w:hint="eastAsia" w:asciiTheme="minorEastAsia" w:hAnsiTheme="minorEastAsia" w:eastAsiaTheme="minorEastAsia" w:cstheme="minorEastAsia"/>
                <w:szCs w:val="21"/>
              </w:rPr>
              <w:t>。根据重要程度和检测频次进行检定，精度等附合要求，基本适宜。</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（5）见证：设备维修记录，</w:t>
            </w:r>
          </w:p>
          <w:p>
            <w:pPr>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w:t>
            </w:r>
            <w:r>
              <w:rPr>
                <w:rFonts w:hint="eastAsia" w:asciiTheme="minorEastAsia" w:hAnsiTheme="minorEastAsia" w:eastAsiaTheme="minorEastAsia" w:cstheme="minorEastAsia"/>
                <w:bCs/>
                <w:szCs w:val="21"/>
              </w:rPr>
              <w:t>配料系统、水膜除尘处理装置、1245球磨机、储浆罐、锅炉4T、 蒸压釜Q2.0×31.5m、废浆搅拌机、储浆搅拌机、制浆搅拌机、配浆搅拌机、皮带输送机等</w:t>
            </w:r>
            <w:r>
              <w:rPr>
                <w:rFonts w:hint="eastAsia" w:asciiTheme="minorEastAsia" w:hAnsiTheme="minorEastAsia" w:eastAsiaTheme="minorEastAsia" w:cstheme="minorEastAsia"/>
                <w:szCs w:val="21"/>
              </w:rPr>
              <w:t>按计划进行了维护，保养内容、保养记录等内容齐全。</w:t>
            </w:r>
          </w:p>
          <w:p>
            <w:pPr>
              <w:pStyle w:val="3"/>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机械类的重点做好特殊过程管控、仪器仪表类的关键过程为调试重点做好流量、位置等的调试指标；销售重点做好业务洽谈（谈话的方式方法内容等）。 </w:t>
            </w:r>
          </w:p>
          <w:p>
            <w:pPr>
              <w:spacing w:line="360" w:lineRule="auto"/>
              <w:rPr>
                <w:rStyle w:val="23"/>
                <w:szCs w:val="21"/>
              </w:rPr>
            </w:pP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b/>
                <w:bCs/>
                <w:szCs w:val="21"/>
              </w:rPr>
              <w:t>关键过程</w:t>
            </w:r>
            <w:r>
              <w:rPr>
                <w:rFonts w:hint="eastAsia" w:asciiTheme="minorEastAsia" w:hAnsiTheme="minorEastAsia" w:eastAsiaTheme="minorEastAsia" w:cstheme="minorEastAsia"/>
                <w:bCs/>
                <w:szCs w:val="21"/>
              </w:rPr>
              <w:t>：</w:t>
            </w:r>
            <w:r>
              <w:rPr>
                <w:rStyle w:val="23"/>
                <w:rFonts w:hint="eastAsia"/>
                <w:szCs w:val="21"/>
              </w:rPr>
              <w:t xml:space="preserve">配料——控制硅钙比例； </w:t>
            </w:r>
          </w:p>
          <w:p>
            <w:pPr>
              <w:spacing w:line="360" w:lineRule="auto"/>
              <w:rPr>
                <w:rStyle w:val="23"/>
                <w:szCs w:val="21"/>
              </w:rPr>
            </w:pPr>
            <w:r>
              <w:rPr>
                <w:rStyle w:val="23"/>
                <w:rFonts w:hint="eastAsia"/>
                <w:szCs w:val="21"/>
              </w:rPr>
              <w:t>需确认过程：蒸养——控制硅钙比例在高温高压下充分发生化学反应。</w:t>
            </w:r>
          </w:p>
          <w:p>
            <w:pPr>
              <w:spacing w:line="360" w:lineRule="auto"/>
              <w:rPr>
                <w:rStyle w:val="23"/>
                <w:szCs w:val="21"/>
              </w:rPr>
            </w:pPr>
            <w:r>
              <w:rPr>
                <w:rStyle w:val="23"/>
                <w:rFonts w:hint="eastAsia"/>
                <w:szCs w:val="21"/>
              </w:rPr>
              <w:t>制定了《配料工艺规程》、《蒸养工艺规程》、《检验规程》等，并进行了过程确认，并见《质量控制点原始记录》</w:t>
            </w:r>
          </w:p>
          <w:p>
            <w:pPr>
              <w:spacing w:line="360" w:lineRule="auto"/>
              <w:ind w:firstLine="210" w:firstLineChars="100"/>
              <w:rPr>
                <w:rStyle w:val="23"/>
                <w:szCs w:val="21"/>
              </w:rPr>
            </w:pPr>
            <w:r>
              <w:rPr>
                <w:rStyle w:val="23"/>
                <w:rFonts w:hint="eastAsia"/>
                <w:szCs w:val="21"/>
              </w:rPr>
              <w:t>查1《配料工艺规程》重要参数：</w:t>
            </w:r>
          </w:p>
          <w:p>
            <w:pPr>
              <w:spacing w:line="360" w:lineRule="auto"/>
              <w:ind w:firstLine="210" w:firstLineChars="100"/>
              <w:rPr>
                <w:rStyle w:val="23"/>
                <w:szCs w:val="21"/>
              </w:rPr>
            </w:pPr>
            <w:r>
              <w:rPr>
                <w:rStyle w:val="23"/>
                <w:rFonts w:hint="eastAsia"/>
                <w:szCs w:val="21"/>
              </w:rPr>
              <w:t xml:space="preserve">配料：料浆2200kg  </w:t>
            </w:r>
            <w:r>
              <w:rPr>
                <w:rFonts w:hint="eastAsia" w:ascii="宋体"/>
                <w:szCs w:val="21"/>
              </w:rPr>
              <w:t>石灰</w:t>
            </w:r>
            <w:r>
              <w:rPr>
                <w:rFonts w:hint="eastAsia" w:ascii="宋体"/>
                <w:szCs w:val="21"/>
                <w:lang w:val="en-US" w:eastAsia="zh-CN"/>
              </w:rPr>
              <w:t>粉</w:t>
            </w:r>
            <w:r>
              <w:rPr>
                <w:rStyle w:val="23"/>
                <w:rFonts w:hint="eastAsia"/>
                <w:szCs w:val="21"/>
              </w:rPr>
              <w:t xml:space="preserve">260kg  水泥320kg   </w:t>
            </w:r>
            <w:r>
              <w:rPr>
                <w:rFonts w:hint="eastAsia" w:ascii="宋体"/>
                <w:szCs w:val="21"/>
              </w:rPr>
              <w:t>加气铝粉膏</w:t>
            </w:r>
            <w:r>
              <w:rPr>
                <w:rStyle w:val="23"/>
                <w:rFonts w:hint="eastAsia"/>
                <w:szCs w:val="21"/>
              </w:rPr>
              <w:t>1.5kg ，水（根据实际情况适当调整）</w:t>
            </w:r>
          </w:p>
          <w:p>
            <w:pPr>
              <w:spacing w:line="360" w:lineRule="auto"/>
              <w:ind w:firstLine="210" w:firstLineChars="100"/>
              <w:rPr>
                <w:rStyle w:val="23"/>
                <w:szCs w:val="21"/>
              </w:rPr>
            </w:pPr>
            <w:r>
              <w:rPr>
                <w:rStyle w:val="23"/>
                <w:rFonts w:hint="eastAsia"/>
                <w:szCs w:val="21"/>
              </w:rPr>
              <w:t>步骤：将料浆2200kg、水泥320kg注入浇注机，搅拌均匀，然后将</w:t>
            </w:r>
            <w:r>
              <w:rPr>
                <w:rFonts w:hint="eastAsia" w:ascii="宋体"/>
                <w:szCs w:val="21"/>
              </w:rPr>
              <w:t>生石灰</w:t>
            </w:r>
            <w:r>
              <w:rPr>
                <w:rStyle w:val="23"/>
                <w:rFonts w:hint="eastAsia"/>
                <w:szCs w:val="21"/>
              </w:rPr>
              <w:t>260kg加入浇注机，搅拌120秒，同时加热混合液，再放入</w:t>
            </w:r>
            <w:r>
              <w:rPr>
                <w:rFonts w:hint="eastAsia" w:ascii="宋体"/>
                <w:szCs w:val="21"/>
              </w:rPr>
              <w:t>加气铝粉膏</w:t>
            </w:r>
            <w:r>
              <w:rPr>
                <w:rStyle w:val="23"/>
                <w:rFonts w:hint="eastAsia"/>
                <w:szCs w:val="21"/>
              </w:rPr>
              <w:t>1.5kg搅拌40秒后，注入模具中，进行下一工序。</w:t>
            </w:r>
          </w:p>
          <w:p>
            <w:pPr>
              <w:spacing w:line="360" w:lineRule="auto"/>
              <w:ind w:firstLine="210" w:firstLineChars="100"/>
              <w:rPr>
                <w:rStyle w:val="23"/>
                <w:szCs w:val="21"/>
              </w:rPr>
            </w:pPr>
            <w:r>
              <w:rPr>
                <w:rStyle w:val="23"/>
                <w:rFonts w:hint="eastAsia"/>
                <w:szCs w:val="21"/>
              </w:rPr>
              <w:t>查2《蒸养工艺规程》重要参数：</w:t>
            </w:r>
          </w:p>
          <w:p>
            <w:pPr>
              <w:spacing w:line="360" w:lineRule="auto"/>
              <w:ind w:firstLine="420" w:firstLineChars="200"/>
              <w:rPr>
                <w:rStyle w:val="23"/>
                <w:szCs w:val="21"/>
              </w:rPr>
            </w:pPr>
            <w:r>
              <w:rPr>
                <w:rStyle w:val="23"/>
                <w:rFonts w:hint="eastAsia"/>
                <w:szCs w:val="21"/>
              </w:rPr>
              <w:t>胚体进入蒸压釜，抽真空并升温，当蒸压釜压强达到0.1MPa时，恒压1小时；之后继续升压，压强1.25MPa</w:t>
            </w:r>
          </w:p>
          <w:p>
            <w:pPr>
              <w:spacing w:line="360" w:lineRule="auto"/>
              <w:rPr>
                <w:rStyle w:val="23"/>
                <w:szCs w:val="21"/>
              </w:rPr>
            </w:pPr>
            <w:r>
              <w:rPr>
                <w:rStyle w:val="23"/>
                <w:rFonts w:hint="eastAsia"/>
                <w:szCs w:val="21"/>
              </w:rPr>
              <w:t>时，根据实际情况，恒温6.5-8.5小时；之后迅速降温至室温，达到大气压强后开釜门。</w:t>
            </w:r>
          </w:p>
          <w:p>
            <w:pPr>
              <w:spacing w:line="360" w:lineRule="auto"/>
              <w:ind w:firstLine="207" w:firstLineChars="98"/>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关键过程确认记录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查到“过程能力确认表”1：过程名称：</w:t>
            </w:r>
            <w:r>
              <w:rPr>
                <w:rStyle w:val="23"/>
                <w:rFonts w:hint="eastAsia"/>
                <w:szCs w:val="21"/>
              </w:rPr>
              <w:t>配料</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查到《过程能力确认表》2：过程名称：</w:t>
            </w:r>
            <w:r>
              <w:rPr>
                <w:rStyle w:val="23"/>
                <w:rFonts w:hint="eastAsia"/>
                <w:szCs w:val="21"/>
              </w:rPr>
              <w:t>蒸养</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360" w:lineRule="auto"/>
              <w:ind w:firstLine="207" w:firstLineChars="98"/>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关键过程的</w:t>
            </w:r>
            <w:r>
              <w:rPr>
                <w:rFonts w:hint="eastAsia" w:asciiTheme="minorEastAsia" w:hAnsiTheme="minorEastAsia" w:eastAsiaTheme="minorEastAsia" w:cstheme="minorEastAsia"/>
                <w:b/>
                <w:szCs w:val="21"/>
              </w:rPr>
              <w:t>质量控制点原始记录：</w:t>
            </w:r>
            <w:r>
              <w:rPr>
                <w:rFonts w:hint="eastAsia" w:asciiTheme="minorEastAsia" w:hAnsiTheme="minorEastAsia" w:eastAsiaTheme="minorEastAsia" w:cstheme="minorEastAsia"/>
                <w:szCs w:val="21"/>
              </w:rPr>
              <w:t>见8.6检验条款</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（7）查到：《进货检验记录》、《过程检验记录》、《成品检验报告》和检测报告包括各工序检测记录和成品检测项目内容及要求等。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每月组织对生产部工艺纪律的执行情况进行1-2次集中检查，平时随时由主管人员进行现场巡视和检查，对发现的问题对责任者进行处罚，保证了操作者严格按照工艺文件的要求和作业指导书进行操作和过程控制。</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产品交付到客户后，由</w:t>
            </w:r>
            <w:r>
              <w:rPr>
                <w:rFonts w:hint="eastAsia" w:asciiTheme="minorEastAsia" w:hAnsiTheme="minorEastAsia" w:eastAsiaTheme="minorEastAsia" w:cstheme="minorEastAsia"/>
                <w:bCs/>
                <w:szCs w:val="21"/>
              </w:rPr>
              <w:t>供销部归口负责，生产部接到供销部的销售合同，进行生产计划，班组成员在投料前提前半小时按车间主任下达的“生产任务通知单”，凭“领料单”到仓库领料,“领料单”上须注明要成型产品名称、型号</w:t>
            </w:r>
            <w:r>
              <w:rPr>
                <w:rFonts w:hint="eastAsia" w:asciiTheme="minorEastAsia" w:hAnsiTheme="minorEastAsia" w:eastAsiaTheme="minorEastAsia" w:cstheme="minorEastAsia"/>
                <w:kern w:val="0"/>
                <w:szCs w:val="21"/>
              </w:rPr>
              <w:t>、原材料名称、型号、数量。经仓管员签字确认。</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进厂/过程/出货检验记录详见8.6条款。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产品交付后，销售部为归口部门，详见销售部检查表。</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查组织的输出标识、状态标识的规定？现场查看标识及可追溯性的状况？</w:t>
            </w: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8.5.2</w:t>
            </w: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生产部是标识和可追溯性的主管部门。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产品：以订单、生产批号为标识进行跟踪</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原料进货分区域，有原材料仓库存放区、成品区，按区域进行标识存放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可追溯性：当有追溯性要求时，通过生产订单、生产批号的标识来完成追溯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生产部确保在产品实现过程中避免产品或其状态的混淆和误用，以及实现作业过程和产品质量的追溯。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生产部门负责标识产品过程标识和最终产品标识；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库管人员负责管理采购产品入厂待验、入库保管、发放的标识；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生产操作人员负责标识的识别及所操作工序记录的填写；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检验人员负责标识的检查及工序检验记录的填写。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在规定有可追溯性要求的场合（如让步接收、例外放行、顾客财产与最终产品等），对每件或每批产品进行唯一性标识，并做好记录。防止在实现过程中产品的混淆和误用，以及实现必要的产品追溯。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公司生产的产品如实施批次管理，做到：</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B)实施批次管理的产品要分批投料、分批加工、检验、分批出厂，详细记录交付的数量、质量、操作者和检验者，并按规定保存；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b)产品的批次标识与原始记录保持一致；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c)产品出现质量问题时，能追溯产品交付前的情况和交付后的分布场所。</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见现场标识有：合格、不合格、待检，检查日期：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.10-11日，检查项目：对加工工序原材料、半成品、成品产品标识、状态标识实施情况进行了检查，检验员：李倩</w:t>
            </w:r>
            <w:r>
              <w:rPr>
                <w:rFonts w:hint="eastAsia" w:asciiTheme="minorEastAsia" w:hAnsiTheme="minorEastAsia" w:eastAsiaTheme="minorEastAsia" w:cstheme="minorEastAsia"/>
                <w:szCs w:val="21"/>
                <w:lang w:val="en-US" w:eastAsia="zh-CN"/>
              </w:rPr>
              <w:t>等</w:t>
            </w:r>
            <w:r>
              <w:rPr>
                <w:rFonts w:hint="eastAsia" w:asciiTheme="minorEastAsia" w:hAnsiTheme="minorEastAsia" w:eastAsiaTheme="minorEastAsia" w:cstheme="minorEastAsia"/>
                <w:szCs w:val="21"/>
              </w:rPr>
              <w:t>。</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顾客或外部供方的财产</w:t>
            </w: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8.5.3</w:t>
            </w: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公司在生产服务过程中不涉及顾客提供的任何产品、知识产权。顾客的个人信息，公司将其作为商业秘密，做到不外泄，经询问，无顾客的个人信息丢失和泄漏情况发生</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公司对顾客的私人信息或有关技术要求均通过专用硬盘区域和配置的专用档案柜予以保存，确保了顾客信息的丢失和泄漏。</w:t>
            </w:r>
          </w:p>
          <w:p>
            <w:pPr>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公司涉及的顾客财产主要顾客付款未提货的产品。至体系建立以来未发生过顾客财产。</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Q8.5.4</w:t>
            </w:r>
          </w:p>
          <w:p>
            <w:pPr>
              <w:rPr>
                <w:rFonts w:asciiTheme="minorEastAsia" w:hAnsiTheme="minorEastAsia" w:eastAsiaTheme="minorEastAsia" w:cstheme="minorEastAsia"/>
                <w:szCs w:val="21"/>
              </w:rPr>
            </w:pP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查看车间现场，产品放置在规定的区域，避免日晒、雨淋等，现场查看，产品的防护基本符合要求。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编制了产品防护包装规定，如果有特殊要求的根据顾客要求和合同进行包装，产品在搬运过程中规定轻搬轻放，专区分类存放。</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Q8.5.5</w:t>
            </w:r>
          </w:p>
          <w:p>
            <w:pPr>
              <w:rPr>
                <w:rFonts w:asciiTheme="minorEastAsia" w:hAnsiTheme="minorEastAsia" w:eastAsiaTheme="minorEastAsia" w:cstheme="minorEastAsia"/>
                <w:szCs w:val="21"/>
              </w:rPr>
            </w:pP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该部门负责人交流，该公司根据顾客交付后一周内进行电话进行顾客回访，无不满意情况发生，但未保留相关记录，该公司交付后主要是通过对客户人员进行技术培训、技术指导，同时跟踪项目进度、顾客回访、顾客反馈、顾客满意度调查等形式进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体系运行至今无顾客不良反馈。</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更改的控制</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Q8.5.6</w:t>
            </w: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对生产服务提供的更改进行必要的评审和控制，以确保稳定的符合要求。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组织保留形成文件的信息，包括有关更改评审结果、授权进行更改的人员以及根据评审所采取的必要措施。</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经询问，目前无生产的变更。</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产品的服务和放行</w:t>
            </w:r>
          </w:p>
        </w:tc>
        <w:tc>
          <w:tcPr>
            <w:tcW w:w="960" w:type="dxa"/>
          </w:tcPr>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 8.1.4</w:t>
            </w:r>
          </w:p>
        </w:tc>
        <w:tc>
          <w:tcPr>
            <w:tcW w:w="10738" w:type="dxa"/>
          </w:tcPr>
          <w:p>
            <w:pPr>
              <w:spacing w:line="360" w:lineRule="auto"/>
              <w:ind w:firstLine="210" w:firstLineChars="100"/>
              <w:rPr>
                <w:rFonts w:ascii="宋体" w:hAnsi="宋体" w:cs="宋体"/>
                <w:szCs w:val="21"/>
              </w:rPr>
            </w:pPr>
            <w:r>
              <w:rPr>
                <w:rFonts w:hint="eastAsia" w:ascii="宋体" w:hAnsi="宋体" w:cs="宋体"/>
                <w:szCs w:val="21"/>
              </w:rPr>
              <w:t>公司制定有：过程/产品服务的监视和测量控制程序对工作程序、检验分类、采购产品、半成品、成品检验和检验记录等做出了明确规定。生产部根据产品实现过程监视和测量策划的结果，按体系文件、公司规定确定的监视和测量点进行监视和测量作好监测记录，实施进货、过程和最终（成品）检验，并保持记录。见证：1、原材料进货检验规程、过程和最终（成品）检验规程，规定了检验项目、工作程序、记录要求、最终检验项目及标准等。以上文件，由生产部结合不同产品制定并执行。</w:t>
            </w:r>
          </w:p>
          <w:p>
            <w:pPr>
              <w:numPr>
                <w:ilvl w:val="0"/>
                <w:numId w:val="6"/>
              </w:num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查进货检验记录:</w:t>
            </w:r>
            <w:r>
              <w:rPr>
                <w:szCs w:val="21"/>
              </w:rPr>
              <w:t>--</w:t>
            </w:r>
            <w:r>
              <w:rPr>
                <w:rFonts w:hint="eastAsia"/>
                <w:b/>
                <w:bCs/>
                <w:szCs w:val="21"/>
              </w:rPr>
              <w:t>抽查进货验收记录</w:t>
            </w:r>
          </w:p>
          <w:p>
            <w:pPr>
              <w:ind w:left="-315" w:leftChars="-150" w:firstLine="632" w:firstLineChars="300"/>
              <w:rPr>
                <w:rFonts w:ascii="宋体"/>
                <w:szCs w:val="21"/>
              </w:rPr>
            </w:pPr>
            <w:r>
              <w:rPr>
                <w:rFonts w:hint="eastAsia"/>
                <w:b/>
                <w:bCs/>
                <w:szCs w:val="21"/>
              </w:rPr>
              <w:t>抽</w:t>
            </w:r>
            <w:r>
              <w:rPr>
                <w:b/>
                <w:bCs/>
                <w:szCs w:val="21"/>
              </w:rPr>
              <w:t>1</w:t>
            </w:r>
            <w:r>
              <w:rPr>
                <w:rFonts w:hint="eastAsia"/>
                <w:b/>
                <w:bCs/>
                <w:szCs w:val="21"/>
              </w:rPr>
              <w:t>：</w:t>
            </w:r>
            <w:r>
              <w:rPr>
                <w:rFonts w:hint="eastAsia" w:ascii="宋体" w:hAnsi="宋体"/>
                <w:szCs w:val="21"/>
              </w:rPr>
              <w:t>原材料验证</w:t>
            </w:r>
            <w:r>
              <w:rPr>
                <w:rFonts w:ascii="宋体" w:hAnsi="宋体"/>
                <w:szCs w:val="21"/>
              </w:rPr>
              <w:t>/</w:t>
            </w:r>
            <w:r>
              <w:rPr>
                <w:rFonts w:hint="eastAsia" w:ascii="宋体" w:hAnsi="宋体"/>
                <w:szCs w:val="21"/>
              </w:rPr>
              <w:t>检验记录（合格证、质量证明书、第三方检测报告等）</w:t>
            </w:r>
          </w:p>
          <w:p>
            <w:pPr>
              <w:ind w:left="-315" w:leftChars="-150" w:firstLine="630" w:firstLineChars="300"/>
              <w:rPr>
                <w:rFonts w:hint="default" w:ascii="宋体" w:eastAsia="宋体"/>
                <w:szCs w:val="21"/>
                <w:lang w:val="en-US" w:eastAsia="zh-CN"/>
              </w:rPr>
            </w:pPr>
            <w:r>
              <w:rPr>
                <w:rFonts w:hint="eastAsia" w:ascii="宋体" w:hAnsi="宋体"/>
                <w:szCs w:val="21"/>
              </w:rPr>
              <w:t>产品名称</w:t>
            </w:r>
            <w:r>
              <w:rPr>
                <w:rFonts w:ascii="宋体"/>
                <w:szCs w:val="21"/>
              </w:rPr>
              <w:t>：</w:t>
            </w:r>
            <w:r>
              <w:rPr>
                <w:rFonts w:hint="eastAsia" w:ascii="宋体" w:hAnsi="宋体"/>
                <w:szCs w:val="21"/>
              </w:rPr>
              <w:t xml:space="preserve">水泥  </w:t>
            </w:r>
            <w:r>
              <w:rPr>
                <w:rFonts w:hint="eastAsia" w:ascii="宋体"/>
                <w:szCs w:val="21"/>
              </w:rPr>
              <w:t xml:space="preserve">  </w:t>
            </w:r>
            <w:r>
              <w:rPr>
                <w:rFonts w:hint="eastAsia" w:ascii="宋体" w:hAnsi="宋体"/>
                <w:szCs w:val="21"/>
              </w:rPr>
              <w:t>生产厂家：</w:t>
            </w:r>
            <w:r>
              <w:rPr>
                <w:rFonts w:hint="eastAsia" w:ascii="宋体" w:hAnsi="宋体"/>
                <w:szCs w:val="21"/>
                <w:lang w:val="en-US" w:eastAsia="zh-CN"/>
              </w:rPr>
              <w:t>华新</w:t>
            </w:r>
            <w:r>
              <w:rPr>
                <w:rFonts w:hint="eastAsia" w:ascii="宋体" w:hAnsi="宋体"/>
                <w:szCs w:val="21"/>
              </w:rPr>
              <w:t>水泥</w:t>
            </w:r>
            <w:r>
              <w:rPr>
                <w:rFonts w:hint="eastAsia" w:ascii="宋体" w:hAnsi="宋体"/>
                <w:szCs w:val="21"/>
                <w:lang w:eastAsia="zh-CN"/>
              </w:rPr>
              <w:t>（</w:t>
            </w:r>
            <w:r>
              <w:rPr>
                <w:rFonts w:hint="eastAsia" w:ascii="宋体" w:hAnsi="宋体"/>
                <w:szCs w:val="21"/>
                <w:lang w:val="en-US" w:eastAsia="zh-CN"/>
              </w:rPr>
              <w:t>大冶</w:t>
            </w:r>
            <w:r>
              <w:rPr>
                <w:rFonts w:hint="eastAsia" w:ascii="宋体" w:hAnsi="宋体"/>
                <w:szCs w:val="21"/>
                <w:lang w:eastAsia="zh-CN"/>
              </w:rPr>
              <w:t>）</w:t>
            </w:r>
            <w:r>
              <w:rPr>
                <w:rFonts w:hint="eastAsia" w:ascii="宋体" w:hAnsi="宋体"/>
                <w:szCs w:val="21"/>
              </w:rPr>
              <w:t>有限责任公司</w:t>
            </w:r>
            <w:r>
              <w:rPr>
                <w:rFonts w:ascii="宋体"/>
                <w:szCs w:val="21"/>
              </w:rPr>
              <w:tab/>
            </w:r>
            <w:r>
              <w:rPr>
                <w:rFonts w:hint="eastAsia" w:ascii="宋体"/>
                <w:szCs w:val="21"/>
              </w:rPr>
              <w:t>验收员：</w:t>
            </w:r>
            <w:r>
              <w:rPr>
                <w:rFonts w:hint="eastAsia" w:ascii="宋体" w:hAnsi="宋体"/>
                <w:szCs w:val="21"/>
                <w:lang w:val="en-US" w:eastAsia="zh-CN"/>
              </w:rPr>
              <w:t>黄月英</w:t>
            </w:r>
          </w:p>
          <w:p>
            <w:pP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2127250" cy="2836545"/>
                  <wp:effectExtent l="0" t="0" r="6350" b="8255"/>
                  <wp:docPr id="33" name="图片 33" descr="b6e3b965a30333e0d5436971227e0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6e3b965a30333e0d5436971227e0e2"/>
                          <pic:cNvPicPr>
                            <a:picLocks noChangeAspect="1"/>
                          </pic:cNvPicPr>
                        </pic:nvPicPr>
                        <pic:blipFill>
                          <a:blip r:embed="rId12"/>
                          <a:stretch>
                            <a:fillRect/>
                          </a:stretch>
                        </pic:blipFill>
                        <pic:spPr>
                          <a:xfrm>
                            <a:off x="0" y="0"/>
                            <a:ext cx="2127250" cy="2836545"/>
                          </a:xfrm>
                          <a:prstGeom prst="rect">
                            <a:avLst/>
                          </a:prstGeom>
                        </pic:spPr>
                      </pic:pic>
                    </a:graphicData>
                  </a:graphic>
                </wp:inline>
              </w:drawing>
            </w:r>
          </w:p>
          <w:p>
            <w:pPr>
              <w:rPr>
                <w:rFonts w:ascii="宋体"/>
                <w:szCs w:val="21"/>
              </w:rPr>
            </w:pPr>
            <w:r>
              <w:rPr>
                <w:rFonts w:hint="eastAsia"/>
                <w:b/>
                <w:bCs/>
                <w:szCs w:val="21"/>
              </w:rPr>
              <w:t>抽</w:t>
            </w:r>
            <w:r>
              <w:rPr>
                <w:b/>
                <w:bCs/>
                <w:szCs w:val="21"/>
              </w:rPr>
              <w:t>2</w:t>
            </w:r>
            <w:r>
              <w:rPr>
                <w:rFonts w:hint="eastAsia"/>
                <w:b/>
                <w:bCs/>
                <w:szCs w:val="21"/>
              </w:rPr>
              <w:t>：</w:t>
            </w:r>
            <w:r>
              <w:rPr>
                <w:rFonts w:hint="eastAsia" w:ascii="宋体" w:hAnsi="宋体"/>
                <w:szCs w:val="21"/>
              </w:rPr>
              <w:t>原材料验证</w:t>
            </w:r>
            <w:r>
              <w:rPr>
                <w:rFonts w:ascii="宋体" w:hAnsi="宋体"/>
                <w:szCs w:val="21"/>
              </w:rPr>
              <w:t>/</w:t>
            </w:r>
            <w:r>
              <w:rPr>
                <w:rFonts w:hint="eastAsia" w:ascii="宋体" w:hAnsi="宋体"/>
                <w:szCs w:val="21"/>
              </w:rPr>
              <w:t>检验记录（合格证、质量证明书、第三方检测报告等）</w:t>
            </w:r>
          </w:p>
          <w:p>
            <w:pPr>
              <w:ind w:left="-315" w:leftChars="-150" w:firstLine="630" w:firstLineChars="300"/>
              <w:rPr>
                <w:rFonts w:hint="default" w:ascii="宋体" w:eastAsia="宋体"/>
                <w:szCs w:val="21"/>
                <w:lang w:val="en-US" w:eastAsia="zh-CN"/>
              </w:rPr>
            </w:pPr>
            <w:r>
              <w:rPr>
                <w:rFonts w:hint="eastAsia" w:ascii="宋体" w:hAnsi="宋体"/>
                <w:szCs w:val="21"/>
              </w:rPr>
              <w:t>产品名称</w:t>
            </w:r>
            <w:r>
              <w:rPr>
                <w:rFonts w:ascii="宋体"/>
                <w:szCs w:val="21"/>
              </w:rPr>
              <w:t>：</w:t>
            </w:r>
            <w:r>
              <w:rPr>
                <w:rFonts w:hint="eastAsia" w:ascii="宋体"/>
                <w:szCs w:val="21"/>
              </w:rPr>
              <w:t>加气铝粉膏</w:t>
            </w:r>
            <w:r>
              <w:rPr>
                <w:rFonts w:hint="eastAsia" w:ascii="宋体" w:hAnsi="宋体"/>
                <w:szCs w:val="21"/>
              </w:rPr>
              <w:t xml:space="preserve"> </w:t>
            </w:r>
            <w:r>
              <w:rPr>
                <w:rFonts w:hint="eastAsia" w:ascii="宋体"/>
                <w:szCs w:val="21"/>
              </w:rPr>
              <w:t xml:space="preserve">  </w:t>
            </w:r>
            <w:r>
              <w:rPr>
                <w:rFonts w:hint="eastAsia" w:ascii="宋体" w:hAnsi="宋体"/>
                <w:szCs w:val="21"/>
              </w:rPr>
              <w:t>生产厂家：</w:t>
            </w:r>
            <w:r>
              <w:rPr>
                <w:rFonts w:hint="eastAsia" w:ascii="宋体" w:hAnsi="宋体"/>
                <w:color w:val="auto"/>
                <w:szCs w:val="21"/>
                <w:lang w:val="en-US" w:eastAsia="zh-CN"/>
              </w:rPr>
              <w:t>华旺</w:t>
            </w:r>
            <w:r>
              <w:rPr>
                <w:rFonts w:hint="eastAsia" w:ascii="宋体"/>
                <w:color w:val="auto"/>
                <w:szCs w:val="21"/>
              </w:rPr>
              <w:t>建材有限公司</w:t>
            </w:r>
            <w:r>
              <w:rPr>
                <w:rFonts w:hint="eastAsia" w:ascii="宋体" w:hAnsi="宋体"/>
                <w:color w:val="auto"/>
                <w:szCs w:val="21"/>
              </w:rPr>
              <w:t xml:space="preserve"> </w:t>
            </w:r>
            <w:r>
              <w:rPr>
                <w:rFonts w:hint="eastAsia" w:ascii="宋体"/>
                <w:szCs w:val="21"/>
              </w:rPr>
              <w:t xml:space="preserve">  </w:t>
            </w:r>
            <w:r>
              <w:rPr>
                <w:rFonts w:ascii="宋体"/>
                <w:szCs w:val="21"/>
              </w:rPr>
              <w:tab/>
            </w:r>
            <w:r>
              <w:rPr>
                <w:rFonts w:hint="eastAsia" w:ascii="宋体"/>
                <w:szCs w:val="21"/>
              </w:rPr>
              <w:t>验收员：</w:t>
            </w:r>
            <w:r>
              <w:rPr>
                <w:rFonts w:hint="eastAsia" w:ascii="宋体" w:hAnsi="宋体"/>
                <w:szCs w:val="21"/>
                <w:lang w:val="en-US" w:eastAsia="zh-CN"/>
              </w:rPr>
              <w:t>黄月英</w:t>
            </w:r>
          </w:p>
          <w:p>
            <w:pPr>
              <w:rPr>
                <w:rFonts w:ascii="宋体"/>
                <w:b/>
                <w:bCs/>
                <w:szCs w:val="21"/>
              </w:rPr>
            </w:pPr>
          </w:p>
          <w:p>
            <w:pPr>
              <w:rPr>
                <w:rFonts w:ascii="宋体"/>
                <w:szCs w:val="21"/>
              </w:rPr>
            </w:pPr>
            <w:r>
              <w:rPr>
                <w:rFonts w:hint="eastAsia"/>
                <w:b/>
                <w:bCs/>
                <w:szCs w:val="21"/>
              </w:rPr>
              <w:t>抽</w:t>
            </w:r>
            <w:r>
              <w:rPr>
                <w:b/>
                <w:bCs/>
                <w:szCs w:val="21"/>
              </w:rPr>
              <w:t>3</w:t>
            </w:r>
            <w:r>
              <w:rPr>
                <w:rFonts w:hint="eastAsia"/>
                <w:b/>
                <w:bCs/>
                <w:szCs w:val="21"/>
              </w:rPr>
              <w:t>：</w:t>
            </w:r>
            <w:r>
              <w:rPr>
                <w:rFonts w:hint="eastAsia" w:ascii="宋体" w:hAnsi="宋体"/>
                <w:szCs w:val="21"/>
              </w:rPr>
              <w:t>原材料验证</w:t>
            </w:r>
            <w:r>
              <w:rPr>
                <w:rFonts w:ascii="宋体" w:hAnsi="宋体"/>
                <w:szCs w:val="21"/>
              </w:rPr>
              <w:t>/</w:t>
            </w:r>
            <w:r>
              <w:rPr>
                <w:rFonts w:hint="eastAsia" w:ascii="宋体" w:hAnsi="宋体"/>
                <w:szCs w:val="21"/>
              </w:rPr>
              <w:t>检验记录（合格证、质量证明书、第三方检测报告等）</w:t>
            </w:r>
          </w:p>
          <w:p>
            <w:pPr>
              <w:ind w:left="-315" w:leftChars="-150" w:firstLine="630" w:firstLineChars="300"/>
              <w:rPr>
                <w:rFonts w:hint="default" w:ascii="宋体" w:hAnsi="宋体" w:eastAsia="宋体"/>
                <w:szCs w:val="21"/>
                <w:lang w:val="en-US" w:eastAsia="zh-CN"/>
              </w:rPr>
            </w:pPr>
            <w:r>
              <w:rPr>
                <w:rFonts w:hint="eastAsia" w:ascii="宋体" w:hAnsi="宋体"/>
                <w:szCs w:val="21"/>
              </w:rPr>
              <w:t>产品名称</w:t>
            </w:r>
            <w:r>
              <w:rPr>
                <w:rFonts w:ascii="宋体"/>
                <w:szCs w:val="21"/>
              </w:rPr>
              <w:t>：</w:t>
            </w:r>
            <w:r>
              <w:rPr>
                <w:rFonts w:hint="eastAsia" w:ascii="宋体"/>
                <w:szCs w:val="21"/>
              </w:rPr>
              <w:t>淤砂</w:t>
            </w:r>
            <w:r>
              <w:rPr>
                <w:rFonts w:hint="eastAsia" w:ascii="宋体" w:hAnsi="宋体"/>
                <w:szCs w:val="21"/>
              </w:rPr>
              <w:t xml:space="preserve">   </w:t>
            </w:r>
            <w:r>
              <w:rPr>
                <w:rFonts w:hint="eastAsia" w:ascii="宋体"/>
                <w:szCs w:val="21"/>
              </w:rPr>
              <w:t xml:space="preserve">  </w:t>
            </w:r>
            <w:r>
              <w:rPr>
                <w:rFonts w:hint="eastAsia" w:ascii="宋体" w:hAnsi="宋体"/>
                <w:szCs w:val="21"/>
              </w:rPr>
              <w:t>生产厂家：</w:t>
            </w:r>
            <w:r>
              <w:rPr>
                <w:rFonts w:hint="eastAsia" w:ascii="宋体"/>
                <w:szCs w:val="21"/>
              </w:rPr>
              <w:t xml:space="preserve">大冶沁悦商贸有限公司   </w:t>
            </w:r>
            <w:r>
              <w:rPr>
                <w:rFonts w:ascii="宋体"/>
                <w:szCs w:val="21"/>
              </w:rPr>
              <w:tab/>
            </w:r>
            <w:r>
              <w:rPr>
                <w:rFonts w:hint="eastAsia" w:ascii="宋体"/>
                <w:szCs w:val="21"/>
              </w:rPr>
              <w:t>验收员：</w:t>
            </w:r>
            <w:r>
              <w:rPr>
                <w:rFonts w:hint="eastAsia" w:ascii="宋体" w:hAnsi="宋体"/>
                <w:szCs w:val="21"/>
                <w:lang w:val="en-US" w:eastAsia="zh-CN"/>
              </w:rPr>
              <w:t>黄月英</w:t>
            </w:r>
          </w:p>
          <w:p>
            <w:pPr>
              <w:rPr>
                <w:rFonts w:ascii="宋体" w:hAnsi="宋体"/>
                <w:szCs w:val="21"/>
              </w:rPr>
            </w:pPr>
            <w:r>
              <w:rPr>
                <w:rFonts w:hint="eastAsia"/>
                <w:b/>
                <w:bCs/>
                <w:szCs w:val="21"/>
              </w:rPr>
              <w:t>抽</w:t>
            </w:r>
            <w:r>
              <w:rPr>
                <w:b/>
                <w:bCs/>
                <w:szCs w:val="21"/>
              </w:rPr>
              <w:t>4</w:t>
            </w:r>
            <w:r>
              <w:rPr>
                <w:rFonts w:hint="eastAsia"/>
                <w:b/>
                <w:bCs/>
                <w:szCs w:val="21"/>
              </w:rPr>
              <w:t>：</w:t>
            </w:r>
            <w:r>
              <w:rPr>
                <w:rFonts w:hint="eastAsia" w:ascii="宋体" w:hAnsi="宋体"/>
                <w:szCs w:val="21"/>
              </w:rPr>
              <w:t>原材料验证</w:t>
            </w:r>
            <w:r>
              <w:rPr>
                <w:rFonts w:ascii="宋体" w:hAnsi="宋体"/>
                <w:szCs w:val="21"/>
              </w:rPr>
              <w:t>/</w:t>
            </w:r>
            <w:r>
              <w:rPr>
                <w:rFonts w:hint="eastAsia" w:ascii="宋体" w:hAnsi="宋体"/>
                <w:szCs w:val="21"/>
              </w:rPr>
              <w:t>检验记录（合格证、质量证明书、第三方检测报告等）</w:t>
            </w:r>
          </w:p>
          <w:p>
            <w:pPr>
              <w:ind w:left="-315" w:leftChars="-150" w:firstLine="630" w:firstLineChars="300"/>
              <w:rPr>
                <w:rFonts w:hint="default" w:ascii="宋体" w:hAnsi="宋体" w:eastAsia="宋体"/>
                <w:szCs w:val="21"/>
                <w:lang w:val="en-US" w:eastAsia="zh-CN"/>
              </w:rPr>
            </w:pPr>
            <w:r>
              <w:rPr>
                <w:rFonts w:hint="eastAsia" w:ascii="宋体" w:hAnsi="宋体"/>
                <w:szCs w:val="21"/>
              </w:rPr>
              <w:t>产品名称</w:t>
            </w:r>
            <w:r>
              <w:rPr>
                <w:rFonts w:ascii="宋体"/>
                <w:szCs w:val="21"/>
              </w:rPr>
              <w:t>：</w:t>
            </w:r>
            <w:r>
              <w:rPr>
                <w:rFonts w:hint="eastAsia" w:ascii="宋体"/>
                <w:szCs w:val="21"/>
              </w:rPr>
              <w:t>石灰粉</w:t>
            </w:r>
            <w:r>
              <w:rPr>
                <w:rFonts w:hint="eastAsia" w:ascii="宋体" w:hAnsi="宋体"/>
                <w:szCs w:val="21"/>
              </w:rPr>
              <w:t xml:space="preserve"> </w:t>
            </w:r>
            <w:r>
              <w:rPr>
                <w:rFonts w:hint="eastAsia" w:ascii="宋体"/>
                <w:szCs w:val="21"/>
              </w:rPr>
              <w:t xml:space="preserve">  </w:t>
            </w:r>
            <w:r>
              <w:rPr>
                <w:rFonts w:hint="eastAsia" w:ascii="宋体" w:hAnsi="宋体"/>
                <w:szCs w:val="21"/>
              </w:rPr>
              <w:t>生产厂家：</w:t>
            </w:r>
            <w:r>
              <w:rPr>
                <w:rFonts w:hint="eastAsia" w:ascii="宋体" w:hAnsi="宋体"/>
                <w:szCs w:val="21"/>
                <w:lang w:val="en-US" w:eastAsia="zh-CN"/>
              </w:rPr>
              <w:t>大冶金山岭钙业有限公司</w:t>
            </w:r>
            <w:r>
              <w:rPr>
                <w:rFonts w:hint="eastAsia" w:ascii="宋体" w:hAnsi="宋体"/>
                <w:color w:val="000000"/>
                <w:szCs w:val="21"/>
              </w:rPr>
              <w:t xml:space="preserve"> </w:t>
            </w:r>
            <w:r>
              <w:rPr>
                <w:rFonts w:hint="eastAsia" w:ascii="宋体"/>
                <w:szCs w:val="21"/>
              </w:rPr>
              <w:t xml:space="preserve">     </w:t>
            </w:r>
            <w:r>
              <w:rPr>
                <w:rFonts w:ascii="宋体"/>
                <w:szCs w:val="21"/>
              </w:rPr>
              <w:tab/>
            </w:r>
            <w:r>
              <w:rPr>
                <w:rFonts w:hint="eastAsia" w:ascii="宋体"/>
                <w:szCs w:val="21"/>
              </w:rPr>
              <w:t>验收员：</w:t>
            </w:r>
            <w:r>
              <w:rPr>
                <w:rFonts w:hint="eastAsia" w:ascii="宋体" w:hAnsi="宋体"/>
                <w:szCs w:val="21"/>
                <w:lang w:val="en-US" w:eastAsia="zh-CN"/>
              </w:rPr>
              <w:t>黄月英</w:t>
            </w:r>
          </w:p>
          <w:p>
            <w:pPr>
              <w:rPr>
                <w:rFonts w:ascii="宋体" w:hAnsi="宋体"/>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采购进货检验中发现的不合格品，由</w:t>
            </w:r>
            <w:r>
              <w:rPr>
                <w:rFonts w:hint="eastAsia" w:asciiTheme="minorEastAsia" w:hAnsiTheme="minorEastAsia" w:eastAsiaTheme="minorEastAsia" w:cstheme="minorEastAsia"/>
                <w:szCs w:val="21"/>
                <w:lang w:val="en-US" w:eastAsia="zh-CN"/>
              </w:rPr>
              <w:t>供销</w:t>
            </w:r>
            <w:r>
              <w:rPr>
                <w:rFonts w:hint="eastAsia" w:asciiTheme="minorEastAsia" w:hAnsiTheme="minorEastAsia" w:eastAsiaTheme="minorEastAsia" w:cstheme="minorEastAsia"/>
                <w:szCs w:val="21"/>
              </w:rPr>
              <w:t>部负责退回供应商，目前，公司的供应商比较稳定，产品质量达到公司的质量要求，未出现采购不合格的情况。</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3、查混凝土生产实现关键过程——配方的配制、过程参数的控制：</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抽《质量控制点原始记录  配料》1</w:t>
            </w:r>
            <w:r>
              <w:rPr>
                <w:rFonts w:hint="eastAsia" w:asciiTheme="minorEastAsia" w:hAnsiTheme="minorEastAsia" w:eastAsiaTheme="minorEastAsia" w:cstheme="minorEastAsia"/>
                <w:szCs w:val="21"/>
              </w:rPr>
              <w:t xml:space="preserve">     </w:t>
            </w:r>
          </w:p>
          <w:p>
            <w:pPr>
              <w:spacing w:line="360" w:lineRule="auto"/>
              <w:ind w:firstLine="210" w:firstLineChars="100"/>
              <w:rPr>
                <w:szCs w:val="21"/>
              </w:rPr>
            </w:pPr>
            <w:r>
              <w:rPr>
                <w:rFonts w:hint="eastAsia" w:asciiTheme="minorEastAsia" w:hAnsiTheme="minorEastAsia" w:eastAsiaTheme="minorEastAsia" w:cstheme="minorEastAsia"/>
                <w:szCs w:val="21"/>
              </w:rPr>
              <w:t>操作员：吴文豪，确认人：</w:t>
            </w:r>
            <w:r>
              <w:rPr>
                <w:rFonts w:hint="eastAsia" w:asciiTheme="minorEastAsia" w:hAnsiTheme="minorEastAsia" w:eastAsiaTheme="minorEastAsia" w:cstheme="minorEastAsia"/>
                <w:szCs w:val="21"/>
                <w:lang w:val="en-US" w:eastAsia="zh-CN"/>
              </w:rPr>
              <w:t>曹志敏</w:t>
            </w:r>
            <w:r>
              <w:rPr>
                <w:rFonts w:hint="eastAsia" w:asciiTheme="minorEastAsia" w:hAnsiTheme="minorEastAsia" w:eastAsiaTheme="minorEastAsia" w:cstheme="minorEastAsia"/>
                <w:szCs w:val="21"/>
              </w:rPr>
              <w:t>。时间: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.7.19</w:t>
            </w:r>
          </w:p>
          <w:p>
            <w:pPr>
              <w:spacing w:line="360" w:lineRule="auto"/>
              <w:ind w:firstLine="420" w:firstLineChars="200"/>
              <w:rPr>
                <w:rFonts w:asciiTheme="minorEastAsia" w:hAnsiTheme="minorEastAsia" w:eastAsiaTheme="minorEastAsia" w:cstheme="minorEastAsia"/>
              </w:rPr>
            </w:pPr>
            <w:r>
              <w:rPr>
                <w:rStyle w:val="23"/>
                <w:rFonts w:hint="eastAsia"/>
                <w:szCs w:val="21"/>
              </w:rPr>
              <w:t>配料记录：料浆</w:t>
            </w:r>
            <w:r>
              <w:rPr>
                <w:rStyle w:val="23"/>
                <w:rFonts w:hint="eastAsia"/>
                <w:szCs w:val="21"/>
                <w:lang w:val="en-US" w:eastAsia="zh-CN"/>
              </w:rPr>
              <w:t>1918</w:t>
            </w:r>
            <w:r>
              <w:rPr>
                <w:rStyle w:val="23"/>
                <w:rFonts w:hint="eastAsia"/>
                <w:szCs w:val="21"/>
              </w:rPr>
              <w:t xml:space="preserve">kg  </w:t>
            </w:r>
            <w:r>
              <w:rPr>
                <w:rFonts w:hint="eastAsia" w:ascii="宋体"/>
                <w:szCs w:val="21"/>
              </w:rPr>
              <w:t>石灰</w:t>
            </w:r>
            <w:r>
              <w:rPr>
                <w:rStyle w:val="23"/>
                <w:rFonts w:hint="eastAsia"/>
                <w:szCs w:val="21"/>
                <w:lang w:val="en-US" w:eastAsia="zh-CN"/>
              </w:rPr>
              <w:t>51</w:t>
            </w:r>
            <w:r>
              <w:rPr>
                <w:rStyle w:val="23"/>
                <w:rFonts w:hint="eastAsia"/>
                <w:szCs w:val="21"/>
              </w:rPr>
              <w:t xml:space="preserve">kg  水泥320kg   </w:t>
            </w:r>
            <w:r>
              <w:rPr>
                <w:rFonts w:hint="eastAsia" w:ascii="宋体"/>
                <w:szCs w:val="21"/>
              </w:rPr>
              <w:t>加气铝粉膏</w:t>
            </w:r>
            <w:r>
              <w:rPr>
                <w:rStyle w:val="23"/>
                <w:rFonts w:hint="eastAsia"/>
                <w:szCs w:val="21"/>
              </w:rPr>
              <w:t>1.5kg ，水（根据实际情况适当调整）</w:t>
            </w:r>
            <w:r>
              <w:rPr>
                <w:rFonts w:hint="eastAsia" w:asciiTheme="minorEastAsia" w:hAnsiTheme="minorEastAsia" w:eastAsiaTheme="minorEastAsia" w:cstheme="minorEastAsia"/>
              </w:rPr>
              <w:t>。</w:t>
            </w:r>
          </w:p>
          <w:p>
            <w:pPr>
              <w:spacing w:line="360" w:lineRule="auto"/>
              <w:rPr>
                <w:szCs w:val="21"/>
              </w:rPr>
            </w:pPr>
            <w:r>
              <w:rPr>
                <w:rFonts w:hint="eastAsia" w:asciiTheme="minorEastAsia" w:hAnsiTheme="minorEastAsia" w:eastAsiaTheme="minorEastAsia" w:cstheme="minorEastAsia"/>
              </w:rPr>
              <w:t>结论：监控过程无异常。</w:t>
            </w:r>
          </w:p>
          <w:p>
            <w:pPr>
              <w:spacing w:line="360" w:lineRule="auto"/>
              <w:ind w:firstLine="205" w:firstLineChars="98"/>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lang w:eastAsia="zh-CN"/>
              </w:rPr>
              <w:drawing>
                <wp:inline distT="0" distB="0" distL="114300" distR="114300">
                  <wp:extent cx="537210" cy="717550"/>
                  <wp:effectExtent l="0" t="0" r="8890" b="6350"/>
                  <wp:docPr id="35" name="图片 35" descr="8b678c006c605039f8069110eb03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8b678c006c605039f8069110eb03e49"/>
                          <pic:cNvPicPr>
                            <a:picLocks noChangeAspect="1"/>
                          </pic:cNvPicPr>
                        </pic:nvPicPr>
                        <pic:blipFill>
                          <a:blip r:embed="rId13"/>
                          <a:stretch>
                            <a:fillRect/>
                          </a:stretch>
                        </pic:blipFill>
                        <pic:spPr>
                          <a:xfrm>
                            <a:off x="0" y="0"/>
                            <a:ext cx="537210" cy="717550"/>
                          </a:xfrm>
                          <a:prstGeom prst="rect">
                            <a:avLst/>
                          </a:prstGeom>
                        </pic:spPr>
                      </pic:pic>
                    </a:graphicData>
                  </a:graphic>
                </wp:inline>
              </w:draw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此为瞬间拍照记录，有的秤量还在进行中</w:t>
            </w:r>
            <w:r>
              <w:rPr>
                <w:rFonts w:hint="eastAsia" w:asciiTheme="minorEastAsia" w:hAnsiTheme="minorEastAsia" w:eastAsiaTheme="minorEastAsia" w:cstheme="minorEastAsia"/>
                <w:lang w:eastAsia="zh-CN"/>
              </w:rPr>
              <w:t>）</w:t>
            </w:r>
          </w:p>
          <w:p>
            <w:pPr>
              <w:spacing w:line="360" w:lineRule="auto"/>
              <w:ind w:firstLine="207" w:firstLineChars="98"/>
              <w:rPr>
                <w:rStyle w:val="23"/>
                <w:szCs w:val="21"/>
              </w:rPr>
            </w:pPr>
            <w:r>
              <w:rPr>
                <w:rFonts w:hint="eastAsia" w:asciiTheme="minorEastAsia" w:hAnsiTheme="minorEastAsia" w:eastAsiaTheme="minorEastAsia" w:cstheme="minorEastAsia"/>
                <w:b/>
                <w:szCs w:val="21"/>
              </w:rPr>
              <w:t xml:space="preserve">抽《质量控制点原始记录  </w:t>
            </w:r>
            <w:r>
              <w:rPr>
                <w:rStyle w:val="23"/>
                <w:rFonts w:hint="eastAsia"/>
                <w:b/>
                <w:szCs w:val="21"/>
              </w:rPr>
              <w:t>蒸养</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Cs w:val="21"/>
              </w:rPr>
              <w:t xml:space="preserve">2 </w:t>
            </w:r>
          </w:p>
          <w:p>
            <w:pPr>
              <w:spacing w:line="360" w:lineRule="auto"/>
              <w:rPr>
                <w:rStyle w:val="23"/>
                <w:szCs w:val="21"/>
              </w:rPr>
            </w:pPr>
            <w:r>
              <w:rPr>
                <w:rFonts w:hint="eastAsia" w:asciiTheme="minorEastAsia" w:hAnsiTheme="minorEastAsia" w:eastAsiaTheme="minorEastAsia" w:cstheme="minorEastAsia"/>
                <w:szCs w:val="21"/>
              </w:rPr>
              <w:t>操作员：孙文山，确认人：</w:t>
            </w:r>
            <w:r>
              <w:rPr>
                <w:rFonts w:hint="eastAsia" w:asciiTheme="minorEastAsia" w:hAnsiTheme="minorEastAsia" w:eastAsiaTheme="minorEastAsia" w:cstheme="minorEastAsia"/>
                <w:szCs w:val="21"/>
                <w:lang w:val="en-US" w:eastAsia="zh-CN"/>
              </w:rPr>
              <w:t>曹志敏</w:t>
            </w:r>
            <w:r>
              <w:rPr>
                <w:rFonts w:hint="eastAsia" w:asciiTheme="minorEastAsia" w:hAnsiTheme="minorEastAsia" w:eastAsiaTheme="minorEastAsia" w:cstheme="minorEastAsia"/>
                <w:szCs w:val="21"/>
              </w:rPr>
              <w:t>。时间: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.7.18</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Style w:val="23"/>
                <w:rFonts w:hint="eastAsia"/>
                <w:szCs w:val="21"/>
              </w:rPr>
              <w:t>蒸压釜号     0.1MPa后，恒压开始时间    结束时间    1.25MPa后，恒压开始时间     结束时间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10：30                 11：30            14：00                 20：40</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            14：10                 15：10            16：45                 23：00</w:t>
            </w:r>
          </w:p>
          <w:p>
            <w:pPr>
              <w:spacing w:line="360" w:lineRule="auto"/>
              <w:ind w:firstLine="40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17：00                 18：00            19：30                  4：12</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结论：监控过程无异常。</w:t>
            </w:r>
          </w:p>
          <w:p>
            <w:pPr>
              <w:spacing w:line="360" w:lineRule="auto"/>
              <w:rPr>
                <w:rFonts w:hint="eastAsia" w:asciiTheme="minorEastAsia" w:hAnsiTheme="minorEastAsia" w:eastAsiaTheme="minorEastAsia" w:cstheme="minorEastAsia"/>
                <w:lang w:eastAsia="zh-CN"/>
              </w:rPr>
            </w:pPr>
          </w:p>
          <w:p>
            <w:pPr>
              <w:pStyle w:val="22"/>
              <w:numPr>
                <w:ilvl w:val="0"/>
                <w:numId w:val="7"/>
              </w:numPr>
              <w:spacing w:line="360" w:lineRule="auto"/>
              <w:ind w:firstLineChars="0"/>
              <w:rPr>
                <w:rFonts w:asciiTheme="minorEastAsia" w:hAnsiTheme="minorEastAsia" w:eastAsiaTheme="minorEastAsia" w:cstheme="minorEastAsia"/>
                <w:b/>
                <w:bCs/>
                <w:szCs w:val="21"/>
              </w:rPr>
            </w:pPr>
            <w:r>
              <w:rPr>
                <w:rFonts w:hint="eastAsia" w:asciiTheme="minorEastAsia" w:hAnsiTheme="minorEastAsia" w:eastAsiaTheme="minorEastAsia" w:cstheme="minorEastAsia"/>
                <w:bCs/>
                <w:szCs w:val="21"/>
              </w:rPr>
              <w:t>抽查</w:t>
            </w:r>
            <w:r>
              <w:rPr>
                <w:rFonts w:hint="eastAsia" w:asciiTheme="minorEastAsia" w:hAnsiTheme="minorEastAsia" w:eastAsiaTheme="minorEastAsia" w:cstheme="minorEastAsia"/>
                <w:b/>
                <w:bCs/>
                <w:szCs w:val="21"/>
              </w:rPr>
              <w:t>出厂检验记录/报告（</w:t>
            </w:r>
            <w:r>
              <w:rPr>
                <w:rFonts w:hint="eastAsia" w:asciiTheme="minorEastAsia" w:hAnsiTheme="minorEastAsia" w:eastAsiaTheme="minorEastAsia" w:cstheme="minorEastAsia"/>
                <w:b/>
                <w:bCs/>
                <w:szCs w:val="21"/>
                <w:lang w:val="en-US" w:eastAsia="zh-CN"/>
              </w:rPr>
              <w:t>型式</w:t>
            </w:r>
            <w:r>
              <w:rPr>
                <w:rFonts w:hint="eastAsia" w:asciiTheme="minorEastAsia" w:hAnsiTheme="minorEastAsia" w:eastAsiaTheme="minorEastAsia" w:cstheme="minorEastAsia"/>
                <w:b/>
                <w:bCs/>
                <w:szCs w:val="21"/>
              </w:rPr>
              <w:t>检验报告）</w:t>
            </w:r>
          </w:p>
          <w:p>
            <w:pPr>
              <w:tabs>
                <w:tab w:val="right" w:pos="10522"/>
              </w:tabs>
              <w:spacing w:line="360" w:lineRule="auto"/>
              <w:rPr>
                <w:rFonts w:hint="eastAsia" w:asciiTheme="minorEastAsia" w:hAnsiTheme="minorEastAsia" w:eastAsiaTheme="minorEastAsia" w:cstheme="minorEastAsia"/>
                <w:b/>
                <w:bCs/>
                <w:color w:val="FF0000"/>
                <w:szCs w:val="21"/>
                <w:lang w:eastAsia="zh-CN"/>
              </w:rPr>
            </w:pPr>
            <w:r>
              <w:rPr>
                <w:rFonts w:hint="eastAsia" w:asciiTheme="minorEastAsia" w:hAnsiTheme="minorEastAsia" w:eastAsiaTheme="minorEastAsia" w:cstheme="minorEastAsia"/>
                <w:b/>
                <w:bCs/>
                <w:color w:val="FF0000"/>
                <w:szCs w:val="21"/>
                <w:lang w:eastAsia="zh-CN"/>
              </w:rPr>
              <w:drawing>
                <wp:anchor distT="0" distB="0" distL="114300" distR="114300" simplePos="0" relativeHeight="251674624" behindDoc="0" locked="0" layoutInCell="1" allowOverlap="1">
                  <wp:simplePos x="0" y="0"/>
                  <wp:positionH relativeFrom="column">
                    <wp:posOffset>-183515</wp:posOffset>
                  </wp:positionH>
                  <wp:positionV relativeFrom="paragraph">
                    <wp:posOffset>2818765</wp:posOffset>
                  </wp:positionV>
                  <wp:extent cx="2179955" cy="1635125"/>
                  <wp:effectExtent l="0" t="0" r="3175" b="4445"/>
                  <wp:wrapNone/>
                  <wp:docPr id="23" name="图片 23" descr="347d44cbb742a4656000b2a61e61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47d44cbb742a4656000b2a61e61cb7"/>
                          <pic:cNvPicPr>
                            <a:picLocks noChangeAspect="1"/>
                          </pic:cNvPicPr>
                        </pic:nvPicPr>
                        <pic:blipFill>
                          <a:blip r:embed="rId14"/>
                          <a:stretch>
                            <a:fillRect/>
                          </a:stretch>
                        </pic:blipFill>
                        <pic:spPr>
                          <a:xfrm rot="16200000">
                            <a:off x="0" y="0"/>
                            <a:ext cx="2179955" cy="1635125"/>
                          </a:xfrm>
                          <a:prstGeom prst="rect">
                            <a:avLst/>
                          </a:prstGeom>
                        </pic:spPr>
                      </pic:pic>
                    </a:graphicData>
                  </a:graphic>
                </wp:anchor>
              </w:drawing>
            </w:r>
            <w:r>
              <w:rPr>
                <w:rFonts w:hint="eastAsia" w:asciiTheme="minorEastAsia" w:hAnsiTheme="minorEastAsia" w:eastAsiaTheme="minorEastAsia" w:cstheme="minorEastAsia"/>
                <w:b/>
                <w:bCs/>
                <w:color w:val="FF0000"/>
                <w:szCs w:val="21"/>
                <w:lang w:eastAsia="zh-CN"/>
              </w:rPr>
              <w:drawing>
                <wp:anchor distT="0" distB="0" distL="114300" distR="114300" simplePos="0" relativeHeight="251673600" behindDoc="0" locked="0" layoutInCell="1" allowOverlap="1">
                  <wp:simplePos x="0" y="0"/>
                  <wp:positionH relativeFrom="column">
                    <wp:posOffset>3652520</wp:posOffset>
                  </wp:positionH>
                  <wp:positionV relativeFrom="paragraph">
                    <wp:posOffset>349250</wp:posOffset>
                  </wp:positionV>
                  <wp:extent cx="2432685" cy="1824355"/>
                  <wp:effectExtent l="0" t="0" r="4445" b="5715"/>
                  <wp:wrapNone/>
                  <wp:docPr id="22" name="图片 22" descr="edbe55b88e6db3f4adf8e9a1142e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dbe55b88e6db3f4adf8e9a1142e623"/>
                          <pic:cNvPicPr>
                            <a:picLocks noChangeAspect="1"/>
                          </pic:cNvPicPr>
                        </pic:nvPicPr>
                        <pic:blipFill>
                          <a:blip r:embed="rId15"/>
                          <a:stretch>
                            <a:fillRect/>
                          </a:stretch>
                        </pic:blipFill>
                        <pic:spPr>
                          <a:xfrm rot="16200000">
                            <a:off x="0" y="0"/>
                            <a:ext cx="2432685" cy="1824355"/>
                          </a:xfrm>
                          <a:prstGeom prst="rect">
                            <a:avLst/>
                          </a:prstGeom>
                        </pic:spPr>
                      </pic:pic>
                    </a:graphicData>
                  </a:graphic>
                </wp:anchor>
              </w:drawing>
            </w:r>
            <w:r>
              <w:rPr>
                <w:rFonts w:hint="eastAsia" w:asciiTheme="minorEastAsia" w:hAnsiTheme="minorEastAsia" w:eastAsiaTheme="minorEastAsia" w:cstheme="minorEastAsia"/>
                <w:b/>
                <w:bCs/>
                <w:color w:val="FF0000"/>
                <w:szCs w:val="21"/>
                <w:lang w:eastAsia="zh-CN"/>
              </w:rPr>
              <w:drawing>
                <wp:anchor distT="0" distB="0" distL="114300" distR="114300" simplePos="0" relativeHeight="251672576" behindDoc="0" locked="0" layoutInCell="1" allowOverlap="1">
                  <wp:simplePos x="0" y="0"/>
                  <wp:positionH relativeFrom="column">
                    <wp:posOffset>1703070</wp:posOffset>
                  </wp:positionH>
                  <wp:positionV relativeFrom="paragraph">
                    <wp:posOffset>399415</wp:posOffset>
                  </wp:positionV>
                  <wp:extent cx="2386330" cy="1790065"/>
                  <wp:effectExtent l="0" t="0" r="635" b="1270"/>
                  <wp:wrapNone/>
                  <wp:docPr id="13" name="图片 13" descr="b2d8dc678d3f2a2ee801d93544e6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2d8dc678d3f2a2ee801d93544e6e8c"/>
                          <pic:cNvPicPr>
                            <a:picLocks noChangeAspect="1"/>
                          </pic:cNvPicPr>
                        </pic:nvPicPr>
                        <pic:blipFill>
                          <a:blip r:embed="rId16"/>
                          <a:stretch>
                            <a:fillRect/>
                          </a:stretch>
                        </pic:blipFill>
                        <pic:spPr>
                          <a:xfrm rot="16200000">
                            <a:off x="0" y="0"/>
                            <a:ext cx="2386330" cy="1790065"/>
                          </a:xfrm>
                          <a:prstGeom prst="rect">
                            <a:avLst/>
                          </a:prstGeom>
                        </pic:spPr>
                      </pic:pic>
                    </a:graphicData>
                  </a:graphic>
                </wp:anchor>
              </w:drawing>
            </w:r>
            <w:r>
              <w:rPr>
                <w:rFonts w:hint="eastAsia" w:asciiTheme="minorEastAsia" w:hAnsiTheme="minorEastAsia" w:eastAsiaTheme="minorEastAsia" w:cstheme="minorEastAsia"/>
                <w:b/>
                <w:bCs/>
                <w:color w:val="FF0000"/>
                <w:szCs w:val="21"/>
                <w:lang w:eastAsia="zh-CN"/>
              </w:rPr>
              <w:drawing>
                <wp:inline distT="0" distB="0" distL="114300" distR="114300">
                  <wp:extent cx="1850390" cy="2468880"/>
                  <wp:effectExtent l="0" t="0" r="3810" b="7620"/>
                  <wp:docPr id="11" name="图片 11" descr="5863fc001f1f8211972857517c7b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863fc001f1f8211972857517c7bed7"/>
                          <pic:cNvPicPr>
                            <a:picLocks noChangeAspect="1"/>
                          </pic:cNvPicPr>
                        </pic:nvPicPr>
                        <pic:blipFill>
                          <a:blip r:embed="rId17"/>
                          <a:stretch>
                            <a:fillRect/>
                          </a:stretch>
                        </pic:blipFill>
                        <pic:spPr>
                          <a:xfrm>
                            <a:off x="0" y="0"/>
                            <a:ext cx="1850390" cy="2468880"/>
                          </a:xfrm>
                          <a:prstGeom prst="rect">
                            <a:avLst/>
                          </a:prstGeom>
                        </pic:spPr>
                      </pic:pic>
                    </a:graphicData>
                  </a:graphic>
                </wp:inline>
              </w:drawing>
            </w:r>
            <w:r>
              <w:rPr>
                <w:rFonts w:hint="eastAsia" w:asciiTheme="minorEastAsia" w:hAnsiTheme="minorEastAsia" w:eastAsiaTheme="minorEastAsia" w:cstheme="minorEastAsia"/>
                <w:b/>
                <w:bCs/>
                <w:color w:val="FF0000"/>
                <w:szCs w:val="21"/>
                <w:lang w:eastAsia="zh-CN"/>
              </w:rPr>
              <w:tab/>
            </w: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tabs>
                <w:tab w:val="right" w:pos="10522"/>
              </w:tabs>
              <w:spacing w:line="360" w:lineRule="auto"/>
              <w:rPr>
                <w:rFonts w:hint="eastAsia" w:asciiTheme="minorEastAsia" w:hAnsiTheme="minorEastAsia" w:eastAsiaTheme="minorEastAsia" w:cstheme="minorEastAsia"/>
                <w:b/>
                <w:bCs/>
                <w:color w:val="FF0000"/>
                <w:szCs w:val="21"/>
                <w:lang w:eastAsia="zh-CN"/>
              </w:rPr>
            </w:pPr>
          </w:p>
          <w:p>
            <w:pPr>
              <w:pStyle w:val="22"/>
              <w:numPr>
                <w:ilvl w:val="0"/>
                <w:numId w:val="0"/>
              </w:numPr>
              <w:tabs>
                <w:tab w:val="left" w:pos="6477"/>
              </w:tabs>
              <w:spacing w:line="360" w:lineRule="auto"/>
              <w:ind w:leftChars="0"/>
              <w:rPr>
                <w:rFonts w:hint="eastAsia" w:eastAsia="宋体"/>
                <w:szCs w:val="21"/>
                <w:lang w:eastAsia="zh-CN"/>
              </w:rPr>
            </w:pPr>
            <w:r>
              <w:rPr>
                <w:rFonts w:hint="eastAsia"/>
                <w:szCs w:val="21"/>
                <w:lang w:eastAsia="zh-CN"/>
              </w:rPr>
              <w:drawing>
                <wp:inline distT="0" distB="0" distL="114300" distR="114300">
                  <wp:extent cx="1803400" cy="2406015"/>
                  <wp:effectExtent l="0" t="0" r="0" b="6985"/>
                  <wp:docPr id="37" name="图片 37" descr="4ef0e103255265f620adf4476529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ef0e103255265f620adf4476529f94"/>
                          <pic:cNvPicPr>
                            <a:picLocks noChangeAspect="1"/>
                          </pic:cNvPicPr>
                        </pic:nvPicPr>
                        <pic:blipFill>
                          <a:blip r:embed="rId18"/>
                          <a:stretch>
                            <a:fillRect/>
                          </a:stretch>
                        </pic:blipFill>
                        <pic:spPr>
                          <a:xfrm>
                            <a:off x="0" y="0"/>
                            <a:ext cx="1803400" cy="2406015"/>
                          </a:xfrm>
                          <a:prstGeom prst="rect">
                            <a:avLst/>
                          </a:prstGeom>
                        </pic:spPr>
                      </pic:pic>
                    </a:graphicData>
                  </a:graphic>
                </wp:inline>
              </w:drawing>
            </w:r>
            <w:r>
              <w:rPr>
                <w:rFonts w:hint="eastAsia"/>
                <w:szCs w:val="21"/>
                <w:lang w:eastAsia="zh-CN"/>
              </w:rPr>
              <w:drawing>
                <wp:inline distT="0" distB="0" distL="114300" distR="114300">
                  <wp:extent cx="1814195" cy="2419350"/>
                  <wp:effectExtent l="0" t="0" r="1905" b="6350"/>
                  <wp:docPr id="38" name="图片 38" descr="2fd2ce0d1079f4b5de9594353ea1b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2fd2ce0d1079f4b5de9594353ea1bd6"/>
                          <pic:cNvPicPr>
                            <a:picLocks noChangeAspect="1"/>
                          </pic:cNvPicPr>
                        </pic:nvPicPr>
                        <pic:blipFill>
                          <a:blip r:embed="rId19"/>
                          <a:stretch>
                            <a:fillRect/>
                          </a:stretch>
                        </pic:blipFill>
                        <pic:spPr>
                          <a:xfrm>
                            <a:off x="0" y="0"/>
                            <a:ext cx="1814195" cy="2419350"/>
                          </a:xfrm>
                          <a:prstGeom prst="rect">
                            <a:avLst/>
                          </a:prstGeom>
                        </pic:spPr>
                      </pic:pic>
                    </a:graphicData>
                  </a:graphic>
                </wp:inline>
              </w:drawing>
            </w:r>
            <w:r>
              <w:rPr>
                <w:rFonts w:hint="eastAsia"/>
                <w:szCs w:val="21"/>
                <w:lang w:eastAsia="zh-CN"/>
              </w:rPr>
              <w:tab/>
            </w:r>
            <w:r>
              <w:rPr>
                <w:rFonts w:hint="eastAsia" w:eastAsia="宋体"/>
                <w:szCs w:val="21"/>
                <w:lang w:eastAsia="zh-CN"/>
              </w:rPr>
              <w:drawing>
                <wp:inline distT="0" distB="0" distL="114300" distR="114300">
                  <wp:extent cx="1802765" cy="2404745"/>
                  <wp:effectExtent l="0" t="0" r="635" b="8255"/>
                  <wp:docPr id="36" name="图片 36" descr="13bc435953a3a135dd7e9fb3fb20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3bc435953a3a135dd7e9fb3fb20c5d"/>
                          <pic:cNvPicPr>
                            <a:picLocks noChangeAspect="1"/>
                          </pic:cNvPicPr>
                        </pic:nvPicPr>
                        <pic:blipFill>
                          <a:blip r:embed="rId20"/>
                          <a:stretch>
                            <a:fillRect/>
                          </a:stretch>
                        </pic:blipFill>
                        <pic:spPr>
                          <a:xfrm>
                            <a:off x="0" y="0"/>
                            <a:ext cx="1802765" cy="2404745"/>
                          </a:xfrm>
                          <a:prstGeom prst="rect">
                            <a:avLst/>
                          </a:prstGeom>
                        </pic:spPr>
                      </pic:pic>
                    </a:graphicData>
                  </a:graphic>
                </wp:inline>
              </w:drawing>
            </w:r>
          </w:p>
          <w:p>
            <w:pPr>
              <w:pStyle w:val="22"/>
              <w:numPr>
                <w:ilvl w:val="0"/>
                <w:numId w:val="0"/>
              </w:numPr>
              <w:spacing w:line="360" w:lineRule="auto"/>
              <w:ind w:leftChars="0"/>
              <w:rPr>
                <w:szCs w:val="21"/>
              </w:rPr>
            </w:pPr>
            <w:r>
              <w:rPr>
                <w:rFonts w:hint="eastAsia" w:asciiTheme="minorEastAsia" w:hAnsiTheme="minorEastAsia" w:eastAsiaTheme="minorEastAsia" w:cstheme="minorEastAsia"/>
                <w:b/>
                <w:bCs/>
                <w:color w:val="FF0000"/>
                <w:szCs w:val="21"/>
                <w:lang w:eastAsia="zh-CN"/>
              </w:rPr>
              <w:drawing>
                <wp:anchor distT="0" distB="0" distL="114300" distR="114300" simplePos="0" relativeHeight="251675648" behindDoc="0" locked="0" layoutInCell="1" allowOverlap="1">
                  <wp:simplePos x="0" y="0"/>
                  <wp:positionH relativeFrom="column">
                    <wp:posOffset>120650</wp:posOffset>
                  </wp:positionH>
                  <wp:positionV relativeFrom="paragraph">
                    <wp:posOffset>162560</wp:posOffset>
                  </wp:positionV>
                  <wp:extent cx="1755775" cy="2341880"/>
                  <wp:effectExtent l="0" t="0" r="9525" b="7620"/>
                  <wp:wrapNone/>
                  <wp:docPr id="39" name="图片 39" descr="852192bc519f7f3e813bc4fde48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852192bc519f7f3e813bc4fde486243"/>
                          <pic:cNvPicPr>
                            <a:picLocks noChangeAspect="1"/>
                          </pic:cNvPicPr>
                        </pic:nvPicPr>
                        <pic:blipFill>
                          <a:blip r:embed="rId21"/>
                          <a:stretch>
                            <a:fillRect/>
                          </a:stretch>
                        </pic:blipFill>
                        <pic:spPr>
                          <a:xfrm>
                            <a:off x="0" y="0"/>
                            <a:ext cx="1755775" cy="2341880"/>
                          </a:xfrm>
                          <a:prstGeom prst="rect">
                            <a:avLst/>
                          </a:prstGeom>
                        </pic:spPr>
                      </pic:pic>
                    </a:graphicData>
                  </a:graphic>
                </wp:anchor>
              </w:drawing>
            </w:r>
          </w:p>
          <w:p>
            <w:pPr>
              <w:pStyle w:val="22"/>
              <w:spacing w:line="360" w:lineRule="auto"/>
              <w:ind w:left="360" w:firstLine="0" w:firstLineChars="0"/>
              <w:rPr>
                <w:rFonts w:asciiTheme="minorEastAsia" w:hAnsiTheme="minorEastAsia" w:eastAsiaTheme="minorEastAsia" w:cstheme="minorEastAsia"/>
                <w:b/>
                <w:bCs/>
                <w:color w:val="FF0000"/>
                <w:szCs w:val="21"/>
              </w:rPr>
            </w:pPr>
          </w:p>
          <w:p>
            <w:pPr>
              <w:pStyle w:val="22"/>
              <w:spacing w:line="360" w:lineRule="auto"/>
              <w:ind w:left="360" w:firstLine="0" w:firstLineChars="0"/>
              <w:rPr>
                <w:rFonts w:hint="eastAsia" w:asciiTheme="minorEastAsia" w:hAnsiTheme="minorEastAsia" w:eastAsiaTheme="minorEastAsia" w:cstheme="minorEastAsia"/>
                <w:b/>
                <w:bCs/>
                <w:color w:val="FF0000"/>
                <w:szCs w:val="21"/>
                <w:lang w:eastAsia="zh-CN"/>
              </w:rPr>
            </w:pPr>
          </w:p>
          <w:p>
            <w:pPr>
              <w:jc w:val="left"/>
              <w:rPr>
                <w:rFonts w:asciiTheme="minorEastAsia" w:hAnsiTheme="minorEastAsia" w:eastAsiaTheme="minorEastAsia" w:cstheme="minorEastAsia"/>
                <w:b/>
                <w:bCs/>
                <w:szCs w:val="21"/>
              </w:rPr>
            </w:pPr>
          </w:p>
          <w:p>
            <w:pPr>
              <w:spacing w:line="360" w:lineRule="auto"/>
              <w:ind w:firstLine="210" w:firstLineChars="100"/>
              <w:rPr>
                <w:rFonts w:hint="eastAsia" w:asciiTheme="minorEastAsia" w:hAnsiTheme="minorEastAsia" w:eastAsiaTheme="minorEastAsia" w:cstheme="minorEastAsia"/>
                <w:kern w:val="0"/>
                <w:szCs w:val="21"/>
              </w:rPr>
            </w:pPr>
          </w:p>
          <w:p>
            <w:pPr>
              <w:spacing w:line="360" w:lineRule="auto"/>
              <w:ind w:firstLine="210" w:firstLineChars="100"/>
              <w:rPr>
                <w:rFonts w:hint="eastAsia" w:asciiTheme="minorEastAsia" w:hAnsiTheme="minorEastAsia" w:eastAsiaTheme="minorEastAsia" w:cstheme="minorEastAsia"/>
                <w:kern w:val="0"/>
                <w:szCs w:val="21"/>
              </w:rPr>
            </w:pPr>
          </w:p>
          <w:p>
            <w:pPr>
              <w:spacing w:line="360" w:lineRule="auto"/>
              <w:ind w:firstLine="210" w:firstLineChars="100"/>
              <w:rPr>
                <w:rFonts w:hint="eastAsia" w:asciiTheme="minorEastAsia" w:hAnsiTheme="minorEastAsia" w:eastAsiaTheme="minorEastAsia" w:cstheme="minorEastAsia"/>
                <w:kern w:val="0"/>
                <w:szCs w:val="21"/>
              </w:rPr>
            </w:pPr>
          </w:p>
          <w:p>
            <w:pPr>
              <w:spacing w:line="360" w:lineRule="auto"/>
              <w:ind w:firstLine="210" w:firstLineChars="100"/>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6、质量抽查：湖北省黄石市产品质量监督检验所检验</w:t>
            </w:r>
          </w:p>
          <w:p>
            <w:pPr>
              <w:spacing w:line="360" w:lineRule="auto"/>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drawing>
                <wp:anchor distT="0" distB="0" distL="114300" distR="114300" simplePos="0" relativeHeight="251677696" behindDoc="0" locked="0" layoutInCell="1" allowOverlap="1">
                  <wp:simplePos x="0" y="0"/>
                  <wp:positionH relativeFrom="column">
                    <wp:posOffset>1898650</wp:posOffset>
                  </wp:positionH>
                  <wp:positionV relativeFrom="paragraph">
                    <wp:posOffset>2924175</wp:posOffset>
                  </wp:positionV>
                  <wp:extent cx="2934970" cy="2201545"/>
                  <wp:effectExtent l="0" t="0" r="8255" b="11430"/>
                  <wp:wrapNone/>
                  <wp:docPr id="6" name="图片 6" descr="dafa18ab9fe7ad6aa1019673ecb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afa18ab9fe7ad6aa1019673ecb6925"/>
                          <pic:cNvPicPr>
                            <a:picLocks noChangeAspect="1"/>
                          </pic:cNvPicPr>
                        </pic:nvPicPr>
                        <pic:blipFill>
                          <a:blip r:embed="rId22"/>
                          <a:stretch>
                            <a:fillRect/>
                          </a:stretch>
                        </pic:blipFill>
                        <pic:spPr>
                          <a:xfrm rot="16200000">
                            <a:off x="0" y="0"/>
                            <a:ext cx="2934970" cy="2201545"/>
                          </a:xfrm>
                          <a:prstGeom prst="rect">
                            <a:avLst/>
                          </a:prstGeom>
                        </pic:spPr>
                      </pic:pic>
                    </a:graphicData>
                  </a:graphic>
                </wp:anchor>
              </w:drawing>
            </w:r>
            <w:r>
              <w:rPr>
                <w:rFonts w:hint="eastAsia" w:asciiTheme="minorEastAsia" w:hAnsiTheme="minorEastAsia" w:eastAsiaTheme="minorEastAsia" w:cstheme="minorEastAsia"/>
                <w:kern w:val="0"/>
                <w:szCs w:val="21"/>
                <w:lang w:eastAsia="zh-CN"/>
              </w:rPr>
              <w:drawing>
                <wp:anchor distT="0" distB="0" distL="114300" distR="114300" simplePos="0" relativeHeight="251676672" behindDoc="0" locked="0" layoutInCell="1" allowOverlap="1">
                  <wp:simplePos x="0" y="0"/>
                  <wp:positionH relativeFrom="column">
                    <wp:posOffset>-382905</wp:posOffset>
                  </wp:positionH>
                  <wp:positionV relativeFrom="paragraph">
                    <wp:posOffset>2936875</wp:posOffset>
                  </wp:positionV>
                  <wp:extent cx="2929890" cy="2197100"/>
                  <wp:effectExtent l="0" t="0" r="0" b="3810"/>
                  <wp:wrapNone/>
                  <wp:docPr id="4" name="图片 4" descr="23e1ff1a1ca09acf734dbeb76e5b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e1ff1a1ca09acf734dbeb76e5b402"/>
                          <pic:cNvPicPr>
                            <a:picLocks noChangeAspect="1"/>
                          </pic:cNvPicPr>
                        </pic:nvPicPr>
                        <pic:blipFill>
                          <a:blip r:embed="rId23"/>
                          <a:stretch>
                            <a:fillRect/>
                          </a:stretch>
                        </pic:blipFill>
                        <pic:spPr>
                          <a:xfrm rot="16200000">
                            <a:off x="0" y="0"/>
                            <a:ext cx="2929890" cy="2197100"/>
                          </a:xfrm>
                          <a:prstGeom prst="rect">
                            <a:avLst/>
                          </a:prstGeom>
                        </pic:spPr>
                      </pic:pic>
                    </a:graphicData>
                  </a:graphic>
                </wp:anchor>
              </w:drawing>
            </w:r>
            <w:r>
              <w:rPr>
                <w:rFonts w:hint="eastAsia" w:asciiTheme="minorEastAsia" w:hAnsiTheme="minorEastAsia" w:eastAsiaTheme="minorEastAsia" w:cstheme="minorEastAsia"/>
                <w:kern w:val="0"/>
                <w:szCs w:val="21"/>
                <w:lang w:eastAsia="zh-CN"/>
              </w:rPr>
              <w:drawing>
                <wp:inline distT="0" distB="0" distL="114300" distR="114300">
                  <wp:extent cx="1883410" cy="2512060"/>
                  <wp:effectExtent l="0" t="0" r="8890" b="2540"/>
                  <wp:docPr id="2" name="图片 2" descr="ce18629789abc9da78720b43fff3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18629789abc9da78720b43fff33e6"/>
                          <pic:cNvPicPr>
                            <a:picLocks noChangeAspect="1"/>
                          </pic:cNvPicPr>
                        </pic:nvPicPr>
                        <pic:blipFill>
                          <a:blip r:embed="rId24"/>
                          <a:stretch>
                            <a:fillRect/>
                          </a:stretch>
                        </pic:blipFill>
                        <pic:spPr>
                          <a:xfrm>
                            <a:off x="0" y="0"/>
                            <a:ext cx="1883410" cy="2512060"/>
                          </a:xfrm>
                          <a:prstGeom prst="rect">
                            <a:avLst/>
                          </a:prstGeom>
                        </pic:spPr>
                      </pic:pic>
                    </a:graphicData>
                  </a:graphic>
                </wp:inline>
              </w:drawing>
            </w:r>
            <w:r>
              <w:rPr>
                <w:rFonts w:hint="eastAsia" w:asciiTheme="minorEastAsia" w:hAnsiTheme="minorEastAsia" w:eastAsiaTheme="minorEastAsia" w:cstheme="minorEastAsia"/>
                <w:kern w:val="0"/>
                <w:szCs w:val="21"/>
                <w:lang w:eastAsia="zh-CN"/>
              </w:rPr>
              <w:drawing>
                <wp:inline distT="0" distB="0" distL="114300" distR="114300">
                  <wp:extent cx="1870075" cy="2494280"/>
                  <wp:effectExtent l="0" t="0" r="9525" b="7620"/>
                  <wp:docPr id="3" name="图片 3" descr="8ae37df9609027ae1a21a5168ed20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e37df9609027ae1a21a5168ed20ac"/>
                          <pic:cNvPicPr>
                            <a:picLocks noChangeAspect="1"/>
                          </pic:cNvPicPr>
                        </pic:nvPicPr>
                        <pic:blipFill>
                          <a:blip r:embed="rId25"/>
                          <a:stretch>
                            <a:fillRect/>
                          </a:stretch>
                        </pic:blipFill>
                        <pic:spPr>
                          <a:xfrm>
                            <a:off x="0" y="0"/>
                            <a:ext cx="1870075" cy="2494280"/>
                          </a:xfrm>
                          <a:prstGeom prst="rect">
                            <a:avLst/>
                          </a:prstGeom>
                        </pic:spPr>
                      </pic:pic>
                    </a:graphicData>
                  </a:graphic>
                </wp:inline>
              </w:drawing>
            </w: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lang w:eastAsia="zh-CN"/>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lang w:eastAsia="zh-CN"/>
              </w:rPr>
            </w:pPr>
          </w:p>
          <w:p>
            <w:pPr>
              <w:spacing w:line="360" w:lineRule="auto"/>
              <w:rPr>
                <w:rFonts w:ascii="宋体" w:hAnsi="宋体" w:cs="宋体"/>
                <w:szCs w:val="21"/>
              </w:rPr>
            </w:pPr>
            <w:r>
              <w:rPr>
                <w:rFonts w:hint="eastAsia" w:asciiTheme="minorEastAsia" w:hAnsiTheme="minorEastAsia" w:eastAsiaTheme="minorEastAsia" w:cstheme="minorEastAsia"/>
                <w:kern w:val="0"/>
                <w:szCs w:val="21"/>
              </w:rPr>
              <w:t>产品交付后，</w:t>
            </w:r>
            <w:r>
              <w:rPr>
                <w:rFonts w:hint="eastAsia" w:asciiTheme="minorEastAsia" w:hAnsiTheme="minorEastAsia" w:eastAsiaTheme="minorEastAsia" w:cstheme="minorEastAsia"/>
                <w:kern w:val="0"/>
                <w:szCs w:val="21"/>
                <w:lang w:val="en-US" w:eastAsia="zh-CN"/>
              </w:rPr>
              <w:t>供销</w:t>
            </w:r>
            <w:r>
              <w:rPr>
                <w:rFonts w:hint="eastAsia" w:asciiTheme="minorEastAsia" w:hAnsiTheme="minorEastAsia" w:eastAsiaTheme="minorEastAsia" w:cstheme="minorEastAsia"/>
                <w:kern w:val="0"/>
                <w:szCs w:val="21"/>
              </w:rPr>
              <w:t>部为归口部门，详见</w:t>
            </w:r>
            <w:r>
              <w:rPr>
                <w:rFonts w:hint="eastAsia" w:asciiTheme="minorEastAsia" w:hAnsiTheme="minorEastAsia" w:eastAsiaTheme="minorEastAsia" w:cstheme="minorEastAsia"/>
                <w:kern w:val="0"/>
                <w:szCs w:val="21"/>
                <w:lang w:val="en-US" w:eastAsia="zh-CN"/>
              </w:rPr>
              <w:t>供销</w:t>
            </w:r>
            <w:r>
              <w:rPr>
                <w:rFonts w:hint="eastAsia" w:asciiTheme="minorEastAsia" w:hAnsiTheme="minorEastAsia" w:eastAsiaTheme="minorEastAsia" w:cstheme="minorEastAsia"/>
                <w:kern w:val="0"/>
                <w:szCs w:val="21"/>
              </w:rPr>
              <w:t>部检查表。</w:t>
            </w:r>
          </w:p>
          <w:p>
            <w:pPr>
              <w:spacing w:line="360" w:lineRule="auto"/>
              <w:ind w:firstLine="210" w:firstLineChars="100"/>
              <w:rPr>
                <w:rFonts w:ascii="宋体" w:hAnsi="宋体" w:cs="宋体"/>
                <w:szCs w:val="21"/>
              </w:rPr>
            </w:pPr>
            <w:r>
              <w:rPr>
                <w:rFonts w:hint="eastAsia" w:ascii="宋体" w:hAnsi="宋体" w:cs="宋体"/>
                <w:szCs w:val="21"/>
              </w:rPr>
              <w:t>查：公司授权：</w:t>
            </w:r>
            <w:r>
              <w:rPr>
                <w:rFonts w:hint="eastAsia" w:ascii="宋体" w:hAnsi="宋体" w:cs="宋体"/>
                <w:szCs w:val="21"/>
                <w:lang w:val="en-US" w:eastAsia="zh-CN"/>
              </w:rPr>
              <w:t>李倩、黄月英、陈志岚、袁亚男</w:t>
            </w:r>
            <w:r>
              <w:rPr>
                <w:rFonts w:hint="eastAsia" w:ascii="宋体" w:hAnsi="宋体" w:cs="宋体"/>
                <w:szCs w:val="21"/>
              </w:rPr>
              <w:t>为检验员。总经理：</w:t>
            </w:r>
            <w:r>
              <w:rPr>
                <w:rFonts w:hint="eastAsia" w:ascii="宋体" w:hAnsi="宋体" w:cs="宋体"/>
                <w:szCs w:val="21"/>
                <w:lang w:val="en-US" w:eastAsia="zh-CN"/>
              </w:rPr>
              <w:t>易学勇</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年1月2日。</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szCs w:val="21"/>
              </w:rPr>
            </w:pPr>
            <w:r>
              <w:rPr>
                <w:rFonts w:hint="eastAsia"/>
                <w:szCs w:val="21"/>
              </w:rPr>
              <w:t>不合格输出的控制</w:t>
            </w:r>
          </w:p>
        </w:tc>
        <w:tc>
          <w:tcPr>
            <w:tcW w:w="960" w:type="dxa"/>
          </w:tcPr>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Q8.7</w:t>
            </w:r>
          </w:p>
          <w:p>
            <w:pPr>
              <w:rPr>
                <w:szCs w:val="21"/>
              </w:rPr>
            </w:pPr>
          </w:p>
        </w:tc>
        <w:tc>
          <w:tcPr>
            <w:tcW w:w="10738" w:type="dxa"/>
          </w:tcPr>
          <w:p>
            <w:pPr>
              <w:numPr>
                <w:ilvl w:val="0"/>
                <w:numId w:val="8"/>
              </w:numPr>
              <w:spacing w:line="360" w:lineRule="auto"/>
              <w:rPr>
                <w:rFonts w:ascii="宋体" w:hAnsi="宋体" w:cs="宋体"/>
                <w:szCs w:val="21"/>
              </w:rPr>
            </w:pPr>
            <w:r>
              <w:rPr>
                <w:rFonts w:hint="eastAsia" w:ascii="宋体" w:hAnsi="宋体" w:cs="宋体"/>
                <w:szCs w:val="21"/>
              </w:rPr>
              <w:t>公司制定有《不合格品控制》，以实施对生产全过程不合格品处置的控制。生产过程中发现不合格，执行《不合格品控制》</w:t>
            </w:r>
          </w:p>
          <w:p>
            <w:pPr>
              <w:spacing w:line="360" w:lineRule="auto"/>
              <w:rPr>
                <w:rFonts w:ascii="宋体" w:hAnsi="宋体" w:cs="宋体"/>
                <w:szCs w:val="21"/>
              </w:rPr>
            </w:pPr>
            <w:r>
              <w:rPr>
                <w:rFonts w:hint="eastAsia" w:ascii="宋体" w:hAnsi="宋体" w:cs="宋体"/>
                <w:szCs w:val="21"/>
              </w:rPr>
              <w:t>抽查《不合格品处理报告》：</w:t>
            </w:r>
          </w:p>
          <w:p>
            <w:pPr>
              <w:spacing w:line="360" w:lineRule="auto"/>
              <w:rPr>
                <w:rFonts w:ascii="宋体" w:hAnsi="宋体" w:cs="宋体"/>
                <w:szCs w:val="21"/>
              </w:rPr>
            </w:pPr>
            <w:r>
              <w:rPr>
                <w:rFonts w:hint="eastAsia" w:ascii="宋体" w:hAnsi="宋体" w:cs="宋体"/>
                <w:szCs w:val="21"/>
              </w:rPr>
              <w:t>不合格品名称：</w:t>
            </w:r>
            <w:r>
              <w:rPr>
                <w:rFonts w:hint="eastAsia" w:ascii="宋体" w:hAnsi="宋体"/>
                <w:szCs w:val="21"/>
              </w:rPr>
              <w:t>蒸压加气混凝土砌块</w:t>
            </w:r>
            <w:r>
              <w:rPr>
                <w:rFonts w:hint="eastAsia" w:ascii="宋体" w:hAnsi="宋体" w:cs="宋体"/>
                <w:szCs w:val="21"/>
              </w:rPr>
              <w:t>，型号规格：B05 A</w:t>
            </w:r>
            <w:r>
              <w:rPr>
                <w:rFonts w:hint="eastAsia" w:ascii="宋体" w:hAnsi="宋体" w:cs="宋体"/>
                <w:szCs w:val="21"/>
                <w:lang w:val="en-US" w:eastAsia="zh-CN"/>
              </w:rPr>
              <w:t>3</w:t>
            </w:r>
            <w:r>
              <w:rPr>
                <w:rFonts w:hint="eastAsia" w:ascii="宋体" w:hAnsi="宋体" w:cs="宋体"/>
                <w:szCs w:val="21"/>
              </w:rPr>
              <w:t>.5级，数量：50块，不合格描述： 砌块破损，检验员/日期：</w:t>
            </w:r>
            <w:r>
              <w:rPr>
                <w:rFonts w:hint="eastAsia" w:ascii="宋体" w:hAnsi="宋体" w:cs="宋体"/>
                <w:szCs w:val="21"/>
                <w:lang w:val="en-US" w:eastAsia="zh-CN"/>
              </w:rPr>
              <w:t>李倩</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.7.19</w:t>
            </w:r>
          </w:p>
          <w:p>
            <w:pPr>
              <w:spacing w:line="360" w:lineRule="auto"/>
              <w:rPr>
                <w:rFonts w:ascii="宋体" w:hAnsi="宋体" w:cs="宋体"/>
                <w:szCs w:val="21"/>
              </w:rPr>
            </w:pPr>
            <w:r>
              <w:rPr>
                <w:rFonts w:hint="eastAsia" w:ascii="宋体" w:hAnsi="宋体" w:cs="宋体"/>
                <w:szCs w:val="21"/>
              </w:rPr>
              <w:t>不符合原因分析：</w:t>
            </w:r>
            <w:r>
              <w:rPr>
                <w:rFonts w:hint="eastAsia" w:ascii="宋体" w:hAnsi="宋体"/>
                <w:szCs w:val="21"/>
              </w:rPr>
              <w:t>蒸压加气混凝土砌块</w:t>
            </w:r>
            <w:r>
              <w:rPr>
                <w:rFonts w:hint="eastAsia" w:ascii="宋体" w:hAnsi="宋体" w:cs="宋体"/>
                <w:szCs w:val="21"/>
              </w:rPr>
              <w:t>出釜后，完全靠人工切割砌块，人工切割敲打，对产品损伤严重，造成砌块破损。分析人/日期：</w:t>
            </w:r>
            <w:r>
              <w:rPr>
                <w:rFonts w:hint="eastAsia" w:ascii="宋体" w:hAnsi="宋体" w:cs="宋体"/>
                <w:szCs w:val="21"/>
                <w:lang w:val="en-US" w:eastAsia="zh-CN"/>
              </w:rPr>
              <w:t>李倩</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.7.19</w:t>
            </w:r>
          </w:p>
          <w:p>
            <w:pPr>
              <w:spacing w:line="360" w:lineRule="auto"/>
              <w:rPr>
                <w:rFonts w:ascii="宋体" w:hAnsi="宋体" w:cs="宋体"/>
                <w:szCs w:val="21"/>
              </w:rPr>
            </w:pPr>
            <w:r>
              <w:rPr>
                <w:rFonts w:ascii="宋体" w:hAnsi="宋体" w:cs="宋体"/>
                <w:szCs w:val="21"/>
              </w:rPr>
              <w:t>处理意见</w:t>
            </w:r>
            <w:r>
              <w:rPr>
                <w:rFonts w:hint="eastAsia" w:ascii="宋体" w:hAnsi="宋体" w:cs="宋体"/>
                <w:szCs w:val="21"/>
              </w:rPr>
              <w:t xml:space="preserve">：新增产品出釜打包机，生产部/日期： </w:t>
            </w:r>
            <w:r>
              <w:rPr>
                <w:rFonts w:hint="eastAsia" w:ascii="宋体" w:hAnsi="宋体" w:cs="宋体"/>
                <w:szCs w:val="21"/>
                <w:lang w:val="en-US" w:eastAsia="zh-CN"/>
              </w:rPr>
              <w:t>曹志敏</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.7.19</w:t>
            </w:r>
          </w:p>
          <w:p>
            <w:pPr>
              <w:spacing w:line="360" w:lineRule="auto"/>
              <w:rPr>
                <w:rFonts w:ascii="宋体" w:hAnsi="宋体" w:cs="宋体"/>
                <w:szCs w:val="21"/>
              </w:rPr>
            </w:pPr>
            <w:r>
              <w:rPr>
                <w:rFonts w:hint="eastAsia" w:ascii="宋体" w:hAnsi="宋体" w:cs="宋体"/>
                <w:szCs w:val="21"/>
              </w:rPr>
              <w:t>处理结果及验证结果：正在进行评审， 评审人/日期：</w:t>
            </w:r>
            <w:r>
              <w:rPr>
                <w:rFonts w:hint="eastAsia" w:ascii="宋体" w:hAnsi="宋体" w:cs="宋体"/>
                <w:szCs w:val="21"/>
                <w:lang w:val="en-US" w:eastAsia="zh-CN"/>
              </w:rPr>
              <w:t>易学勇</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.7.19</w:t>
            </w:r>
          </w:p>
          <w:p>
            <w:pPr>
              <w:spacing w:line="360" w:lineRule="auto"/>
              <w:rPr>
                <w:rFonts w:ascii="宋体" w:hAnsi="宋体" w:cs="宋体"/>
                <w:szCs w:val="21"/>
              </w:rPr>
            </w:pPr>
            <w:r>
              <w:rPr>
                <w:rFonts w:hint="eastAsia" w:ascii="宋体" w:hAnsi="宋体" w:cs="宋体"/>
                <w:szCs w:val="21"/>
              </w:rPr>
              <w:t>2、采购材料发现不合格时，通知采购人员，对不合格的采购材料进行隔离，一般情况下进行退货处理，未发生过让步使用的情况。</w:t>
            </w:r>
          </w:p>
          <w:p>
            <w:pPr>
              <w:spacing w:line="360" w:lineRule="auto"/>
              <w:rPr>
                <w:rFonts w:ascii="宋体" w:hAnsi="宋体" w:cs="宋体"/>
                <w:szCs w:val="21"/>
              </w:rPr>
            </w:pPr>
            <w:r>
              <w:rPr>
                <w:rFonts w:hint="eastAsia" w:ascii="宋体" w:hAnsi="宋体" w:cs="宋体"/>
                <w:szCs w:val="21"/>
              </w:rPr>
              <w:t>3、 经了解，未发生让步接收的情况。</w:t>
            </w:r>
          </w:p>
          <w:p>
            <w:pPr>
              <w:rPr>
                <w:szCs w:val="21"/>
              </w:rPr>
            </w:pPr>
            <w:r>
              <w:rPr>
                <w:rFonts w:hint="eastAsia" w:ascii="宋体" w:hAnsi="宋体" w:cs="宋体"/>
                <w:szCs w:val="21"/>
              </w:rPr>
              <w:t>4、经了解，目前尚未发生交付后或使用后才发现的产品不合格情况</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szCs w:val="21"/>
              </w:rPr>
            </w:pPr>
            <w:r>
              <w:rPr>
                <w:rFonts w:hint="eastAsia"/>
                <w:szCs w:val="21"/>
              </w:rPr>
              <w:t>监视、测量、分析、评价</w:t>
            </w:r>
          </w:p>
        </w:tc>
        <w:tc>
          <w:tcPr>
            <w:tcW w:w="960" w:type="dxa"/>
          </w:tcPr>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QES9.1.1</w:t>
            </w:r>
          </w:p>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Q9.1.3</w:t>
            </w:r>
          </w:p>
          <w:p>
            <w:pPr>
              <w:pStyle w:val="8"/>
              <w:spacing w:line="360" w:lineRule="auto"/>
              <w:ind w:firstLine="0" w:firstLineChars="0"/>
              <w:rPr>
                <w:rFonts w:asciiTheme="minorEastAsia" w:hAnsiTheme="minorEastAsia" w:eastAsiaTheme="minorEastAsia" w:cstheme="minorEastAsia"/>
                <w:color w:val="auto"/>
                <w:sz w:val="21"/>
                <w:szCs w:val="21"/>
              </w:rPr>
            </w:pPr>
          </w:p>
          <w:p>
            <w:pPr>
              <w:rPr>
                <w:szCs w:val="21"/>
              </w:rPr>
            </w:pPr>
          </w:p>
        </w:tc>
        <w:tc>
          <w:tcPr>
            <w:tcW w:w="10738" w:type="dxa"/>
          </w:tcPr>
          <w:p>
            <w:pPr>
              <w:spacing w:line="360" w:lineRule="auto"/>
              <w:rPr>
                <w:rFonts w:ascii="宋体" w:hAnsi="宋体" w:cs="宋体"/>
                <w:szCs w:val="21"/>
              </w:rPr>
            </w:pPr>
            <w:r>
              <w:rPr>
                <w:rFonts w:hint="eastAsia" w:ascii="宋体" w:hAnsi="宋体" w:cs="宋体"/>
                <w:szCs w:val="21"/>
              </w:rPr>
              <w:t>1、 查到《管理手册》，规定了有关数据分析评价的内容，符合标准要求。</w:t>
            </w:r>
          </w:p>
          <w:p>
            <w:pPr>
              <w:spacing w:line="360" w:lineRule="auto"/>
              <w:rPr>
                <w:rFonts w:ascii="宋体" w:hAnsi="宋体" w:cs="宋体"/>
                <w:szCs w:val="21"/>
              </w:rPr>
            </w:pPr>
            <w:r>
              <w:rPr>
                <w:rFonts w:hint="eastAsia" w:ascii="宋体" w:hAnsi="宋体" w:cs="宋体"/>
                <w:szCs w:val="21"/>
              </w:rPr>
              <w:t xml:space="preserve">    负责人回答：对数据分析评价的方法和内容进行规定。经了解，生产部常用数据分析方法主要有直方图、因果分析、鱼刺图、排列图、对策表等法。所收集信息包括材料供方、顾客满意率、产品质量等。</w:t>
            </w:r>
          </w:p>
          <w:p>
            <w:pPr>
              <w:spacing w:line="360" w:lineRule="auto"/>
              <w:rPr>
                <w:rFonts w:ascii="宋体" w:hAnsi="宋体" w:cs="宋体"/>
                <w:szCs w:val="21"/>
              </w:rPr>
            </w:pPr>
            <w:r>
              <w:rPr>
                <w:rFonts w:hint="eastAsia" w:ascii="宋体" w:hAnsi="宋体" w:cs="宋体"/>
                <w:szCs w:val="21"/>
              </w:rPr>
              <w:t>2、 查到《分析报告》，对产品的质量情况、顾客满意度情况、体系的绩效和有效性、措施的有效性、外部供方的绩效、改进需求等进行数据总结，采用直方图、因果分析、鱼刺图、排列图、对策表等方法进行分析。</w:t>
            </w:r>
          </w:p>
          <w:p>
            <w:pPr>
              <w:spacing w:line="360" w:lineRule="auto"/>
              <w:rPr>
                <w:rFonts w:ascii="宋体" w:hAnsi="宋体" w:cs="宋体"/>
                <w:szCs w:val="21"/>
              </w:rPr>
            </w:pPr>
            <w:r>
              <w:rPr>
                <w:rFonts w:hint="eastAsia" w:ascii="宋体" w:hAnsi="宋体" w:cs="宋体"/>
                <w:szCs w:val="21"/>
              </w:rPr>
              <w:t xml:space="preserve">    查到目标指标的完成情况，形成了相关的材料证实，并输入到了管理评审中。</w:t>
            </w:r>
          </w:p>
          <w:p>
            <w:pPr>
              <w:spacing w:line="360" w:lineRule="auto"/>
              <w:rPr>
                <w:rFonts w:ascii="宋体" w:hAnsi="宋体" w:cs="宋体"/>
                <w:szCs w:val="21"/>
              </w:rPr>
            </w:pPr>
            <w:r>
              <w:rPr>
                <w:rFonts w:hint="eastAsia" w:ascii="宋体" w:hAnsi="宋体" w:cs="宋体"/>
                <w:szCs w:val="21"/>
              </w:rPr>
              <w:t xml:space="preserve">    以上统计技术的应用和数据分析的实施情况证实，基本符合标准要求，均实施了有效性的评价，通过数据分析，为质量管理体系有关过程的改进提供机会。</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tabs>
                <w:tab w:val="left" w:pos="9720"/>
                <w:tab w:val="left" w:pos="9900"/>
              </w:tabs>
              <w:spacing w:beforeLines="20" w:afterLines="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事件调查、不符合、纠正措施和预防措施</w:t>
            </w:r>
          </w:p>
          <w:p>
            <w:pPr>
              <w:tabs>
                <w:tab w:val="left" w:pos="9720"/>
                <w:tab w:val="left" w:pos="9900"/>
              </w:tabs>
              <w:spacing w:beforeLines="20" w:afterLines="20"/>
              <w:rPr>
                <w:rFonts w:asciiTheme="minorEastAsia" w:hAnsiTheme="minorEastAsia" w:eastAsiaTheme="minorEastAsia" w:cstheme="minorEastAsia"/>
                <w:szCs w:val="21"/>
              </w:rPr>
            </w:pPr>
          </w:p>
          <w:p>
            <w:pPr>
              <w:tabs>
                <w:tab w:val="left" w:pos="9720"/>
                <w:tab w:val="left" w:pos="9900"/>
              </w:tabs>
              <w:spacing w:beforeLines="20" w:afterLines="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持续改进</w:t>
            </w:r>
          </w:p>
          <w:p>
            <w:pPr>
              <w:spacing w:line="280" w:lineRule="exact"/>
              <w:rPr>
                <w:rFonts w:asciiTheme="minorEastAsia" w:hAnsiTheme="minorEastAsia" w:eastAsiaTheme="minorEastAsia" w:cstheme="minorEastAsia"/>
                <w:szCs w:val="21"/>
              </w:rPr>
            </w:pPr>
          </w:p>
        </w:tc>
        <w:tc>
          <w:tcPr>
            <w:tcW w:w="960" w:type="dxa"/>
          </w:tcPr>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QES10.2</w:t>
            </w:r>
          </w:p>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QES10.3</w:t>
            </w:r>
          </w:p>
          <w:p>
            <w:pPr>
              <w:spacing w:line="360" w:lineRule="auto"/>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tc>
        <w:tc>
          <w:tcPr>
            <w:tcW w:w="10738" w:type="dxa"/>
            <w:vAlign w:val="center"/>
          </w:tcPr>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生产部</w:t>
            </w:r>
            <w:r>
              <w:rPr>
                <w:rFonts w:hint="eastAsia" w:asciiTheme="minorEastAsia" w:hAnsiTheme="minorEastAsia" w:eastAsiaTheme="minorEastAsia" w:cstheme="minorEastAsia"/>
                <w:szCs w:val="21"/>
              </w:rPr>
              <w:t>对已经识别的一般比较轻微问题或不符合采取纠正的办法，比较有影响或典型的问题则采取纠正措施予以控制。根据以往的经验或者针对施工过程的现场管理要求、安全及环保要求识别和确定潜在的不符合，有针对性地制定预防措施。使试验室管理和员工健康得到重视或关注。公司的试验室通过班前会、安全技术交底活动、工地现场会的形式贯彻实施预防措施，实施的效果比较好。</w:t>
            </w:r>
          </w:p>
          <w:p>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查到《事件、不符合及纠正措施管理程序》，见程序文件确定的纠正/预防措施的控制的职责和相关的管理要求，覆盖标准要求，体系建立以来未发生更改变化，基本符合。</w:t>
            </w:r>
          </w:p>
          <w:p>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年5-</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环安运行检查表》，检查内容包括消防器材如消防栓、灭火器、报警器、应急灯等配置及其状态是否正常,工人是否正确穿戴劳动防护用品;危险固废是否严格归类、保管和处置，一般固废的分类收集是否合乎规范;厂区、车间、办公区的环境卫生状况；是否有违章吸烟和违章用火/电情况；危险化学品的管理是否规范；车间和仓库物料的分类和堆放是否合理，存储条件是否合规，消防通道是否畅通，安全标识是否齐全、完好；生产车间和仓库的“5S”管理情况等。</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经了解，所有措施没有引发在策划期间确定的风险和机遇的更新，也没有引发质量管理体系的变更，实施情况基本符合标准的要求。</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环境因素的识别、评价；危险源辨识、风险评价和控制措施的确定</w:t>
            </w:r>
          </w:p>
          <w:p>
            <w:pPr>
              <w:rPr>
                <w:rFonts w:asciiTheme="minorEastAsia" w:hAnsiTheme="minorEastAsia" w:eastAsiaTheme="minorEastAsia" w:cstheme="minorEastAsia"/>
                <w:szCs w:val="21"/>
              </w:rPr>
            </w:pPr>
          </w:p>
        </w:tc>
        <w:tc>
          <w:tcPr>
            <w:tcW w:w="960" w:type="dxa"/>
          </w:tcPr>
          <w:p>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ES6.1.2 </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ES6.1.4</w:t>
            </w:r>
          </w:p>
        </w:tc>
        <w:tc>
          <w:tcPr>
            <w:tcW w:w="10738" w:type="dxa"/>
          </w:tcPr>
          <w:p>
            <w:pPr>
              <w:spacing w:line="360" w:lineRule="auto"/>
              <w:ind w:firstLine="420" w:firstLineChars="200"/>
              <w:rPr>
                <w:rFonts w:ascii="宋体" w:hAnsi="宋体" w:cs="宋体"/>
                <w:szCs w:val="21"/>
              </w:rPr>
            </w:pPr>
            <w:r>
              <w:rPr>
                <w:rFonts w:hint="eastAsia" w:ascii="宋体" w:hAnsi="宋体" w:cs="宋体"/>
                <w:szCs w:val="21"/>
              </w:rPr>
              <w:t>编制了《环境因素的识别与评价控制程序》《危险源辩识、风险评价和风险控制策划程序》符合标准要求</w:t>
            </w:r>
            <w:r>
              <w:rPr>
                <w:rFonts w:ascii="宋体" w:hAnsi="宋体" w:cs="宋体"/>
                <w:szCs w:val="21"/>
              </w:rPr>
              <w:t>.</w:t>
            </w:r>
          </w:p>
          <w:p>
            <w:pPr>
              <w:spacing w:line="360" w:lineRule="auto"/>
              <w:rPr>
                <w:rFonts w:ascii="宋体" w:hAnsi="宋体" w:cs="宋体"/>
                <w:szCs w:val="21"/>
              </w:rPr>
            </w:pPr>
            <w:r>
              <w:rPr>
                <w:rFonts w:hint="eastAsia" w:ascii="宋体" w:hAnsi="宋体" w:cs="宋体"/>
                <w:szCs w:val="21"/>
              </w:rPr>
              <w:t>提供的“环境因素识别评价表”“重要环境因素清单”，</w:t>
            </w:r>
            <w:r>
              <w:rPr>
                <w:rFonts w:ascii="宋体" w:hAnsi="宋体" w:cs="宋体"/>
                <w:szCs w:val="21"/>
              </w:rPr>
              <w:t xml:space="preserve"> </w:t>
            </w:r>
            <w:r>
              <w:rPr>
                <w:rFonts w:hint="eastAsia" w:ascii="宋体" w:hAnsi="宋体" w:cs="宋体"/>
                <w:szCs w:val="21"/>
              </w:rPr>
              <w:t>评价考虑了三种时态现在、过去、将来、三种状态、异常、正常、紧急考虑了法律法规，并进行了评价。</w:t>
            </w:r>
          </w:p>
          <w:p>
            <w:pPr>
              <w:widowControl/>
              <w:spacing w:line="360" w:lineRule="auto"/>
              <w:jc w:val="left"/>
              <w:rPr>
                <w:rFonts w:ascii="宋体" w:cs="宋体"/>
                <w:kern w:val="0"/>
                <w:szCs w:val="21"/>
              </w:rPr>
            </w:pPr>
            <w:r>
              <w:rPr>
                <w:rFonts w:hint="eastAsia" w:ascii="宋体" w:hAnsi="宋体" w:cs="宋体"/>
                <w:szCs w:val="21"/>
              </w:rPr>
              <w:t>经营</w:t>
            </w:r>
            <w:r>
              <w:rPr>
                <w:rFonts w:hint="eastAsia" w:ascii="宋体" w:hAnsi="宋体"/>
                <w:szCs w:val="21"/>
              </w:rPr>
              <w:t>蒸压加气混凝土砌块的生产及销售</w:t>
            </w:r>
            <w:r>
              <w:rPr>
                <w:rFonts w:hint="eastAsia" w:ascii="宋体" w:hAnsi="宋体" w:cs="宋体"/>
                <w:szCs w:val="21"/>
              </w:rPr>
              <w:t>，用打分法考虑了法规符合性、发生频次、影响范围等</w:t>
            </w:r>
            <w:r>
              <w:rPr>
                <w:rFonts w:ascii="宋体" w:hAnsi="宋体" w:cs="宋体"/>
                <w:szCs w:val="21"/>
              </w:rPr>
              <w:t xml:space="preserve">, </w:t>
            </w:r>
            <w:r>
              <w:rPr>
                <w:rFonts w:hint="eastAsia" w:ascii="宋体" w:hAnsi="宋体" w:cs="宋体"/>
                <w:szCs w:val="21"/>
              </w:rPr>
              <w:t>通过定性判断法，共识别出重大环境因素5项：</w:t>
            </w:r>
            <w:r>
              <w:rPr>
                <w:rFonts w:hint="eastAsia" w:ascii="宋体" w:hAnsi="宋体" w:cs="宋体"/>
                <w:kern w:val="0"/>
                <w:szCs w:val="21"/>
              </w:rPr>
              <w:t>粉尘的排放</w:t>
            </w:r>
            <w:r>
              <w:rPr>
                <w:rFonts w:hint="eastAsia" w:ascii="宋体" w:cs="宋体"/>
                <w:kern w:val="0"/>
                <w:szCs w:val="21"/>
              </w:rPr>
              <w:t>、</w:t>
            </w:r>
            <w:r>
              <w:rPr>
                <w:rFonts w:hint="eastAsia" w:ascii="宋体" w:hAnsi="宋体" w:cs="宋体"/>
                <w:kern w:val="0"/>
                <w:szCs w:val="21"/>
              </w:rPr>
              <w:t>废气排放</w:t>
            </w:r>
            <w:r>
              <w:rPr>
                <w:rFonts w:hint="eastAsia" w:ascii="宋体" w:hAnsi="宋体" w:cs="宋体"/>
                <w:szCs w:val="21"/>
              </w:rPr>
              <w:t>，</w:t>
            </w:r>
            <w:r>
              <w:rPr>
                <w:rFonts w:hint="eastAsia" w:ascii="宋体" w:hAnsi="宋体" w:cs="宋体"/>
                <w:kern w:val="0"/>
                <w:szCs w:val="21"/>
              </w:rPr>
              <w:t>噪声排放，固体废弃，火灾爆炸</w:t>
            </w:r>
            <w:r>
              <w:rPr>
                <w:rFonts w:hint="eastAsia" w:ascii="宋体" w:hAnsi="宋体" w:cs="宋体"/>
                <w:szCs w:val="21"/>
              </w:rPr>
              <w:t>，</w:t>
            </w:r>
            <w:r>
              <w:rPr>
                <w:rFonts w:hint="eastAsia" w:ascii="宋体" w:hAnsi="宋体" w:cs="宋体"/>
                <w:kern w:val="0"/>
                <w:szCs w:val="21"/>
              </w:rPr>
              <w:t>能源消耗，</w:t>
            </w:r>
            <w:r>
              <w:rPr>
                <w:rFonts w:hint="eastAsia" w:ascii="宋体" w:hAnsi="宋体" w:cs="宋体"/>
                <w:szCs w:val="21"/>
              </w:rPr>
              <w:t>评价符合程序要求及公司的实际情况。</w:t>
            </w:r>
          </w:p>
          <w:p>
            <w:pPr>
              <w:spacing w:line="360" w:lineRule="auto"/>
              <w:ind w:firstLine="420" w:firstLineChars="200"/>
              <w:rPr>
                <w:rFonts w:hint="eastAsia" w:ascii="宋体" w:hAnsi="宋体" w:cs="宋体"/>
                <w:szCs w:val="21"/>
              </w:rPr>
            </w:pPr>
            <w:r>
              <w:rPr>
                <w:rFonts w:hint="eastAsia" w:ascii="宋体" w:hAnsi="宋体" w:cs="宋体"/>
                <w:szCs w:val="21"/>
              </w:rPr>
              <w:t>对重要环境因素的控制措施包括制定管理制度、监督检查、应急预案、培训等。提供《重要环境因素识别清单》，评价基本合理。</w:t>
            </w:r>
          </w:p>
          <w:p>
            <w:pPr>
              <w:spacing w:line="360" w:lineRule="auto"/>
              <w:ind w:firstLine="420" w:firstLineChars="200"/>
              <w:rPr>
                <w:rFonts w:ascii="宋体" w:hAnsi="宋体" w:cs="宋体"/>
                <w:szCs w:val="21"/>
              </w:rPr>
            </w:pPr>
            <w:r>
              <w:rPr>
                <w:rFonts w:hint="eastAsia" w:asciiTheme="minorEastAsia" w:hAnsiTheme="minorEastAsia" w:eastAsiaTheme="minorEastAsia" w:cstheme="minorEastAsia"/>
                <w:bCs/>
                <w:szCs w:val="21"/>
              </w:rPr>
              <w:t>参加环境</w:t>
            </w:r>
            <w:r>
              <w:rPr>
                <w:rFonts w:hint="eastAsia" w:ascii="宋体" w:hAnsi="宋体" w:cs="宋体"/>
                <w:szCs w:val="21"/>
              </w:rPr>
              <w:t xml:space="preserve">因素辨识和评价人员：  编制 </w:t>
            </w:r>
            <w:r>
              <w:rPr>
                <w:rFonts w:hint="eastAsia" w:ascii="宋体" w:hAnsi="宋体" w:cs="宋体"/>
                <w:szCs w:val="21"/>
                <w:lang w:val="en-US" w:eastAsia="zh-CN"/>
              </w:rPr>
              <w:t>马玉冰</w:t>
            </w:r>
            <w:r>
              <w:rPr>
                <w:rFonts w:hint="eastAsia" w:ascii="宋体" w:hAnsi="宋体" w:cs="宋体"/>
                <w:szCs w:val="21"/>
              </w:rPr>
              <w:t xml:space="preserve">   审批 </w:t>
            </w:r>
            <w:r>
              <w:rPr>
                <w:rFonts w:hint="eastAsia" w:ascii="宋体" w:hAnsi="宋体" w:cs="宋体"/>
                <w:szCs w:val="21"/>
                <w:lang w:val="en-US" w:eastAsia="zh-CN"/>
              </w:rPr>
              <w:t>易学勇</w:t>
            </w:r>
            <w:r>
              <w:rPr>
                <w:rFonts w:hint="eastAsia" w:ascii="宋体" w:hAnsi="宋体" w:cs="宋体"/>
                <w:szCs w:val="21"/>
              </w:rPr>
              <w:t xml:space="preserve">  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p>
          <w:p>
            <w:pPr>
              <w:spacing w:line="360" w:lineRule="auto"/>
              <w:ind w:firstLine="420" w:firstLineChars="200"/>
              <w:rPr>
                <w:rFonts w:ascii="宋体" w:hAnsi="宋体" w:cs="宋体"/>
                <w:szCs w:val="21"/>
              </w:rPr>
            </w:pPr>
            <w:r>
              <w:rPr>
                <w:rFonts w:hint="eastAsia" w:ascii="宋体" w:hAnsi="宋体" w:cs="宋体"/>
                <w:szCs w:val="21"/>
              </w:rPr>
              <w:t>提供《危险源辨识、风险评价和控制措施确定控制程序》，对影响职业健康安全的危险源，评价其风险程度及级别，不可接受风险评价的标准和更新的时机</w:t>
            </w:r>
            <w:r>
              <w:rPr>
                <w:rFonts w:ascii="宋体" w:hAnsi="宋体" w:cs="宋体"/>
                <w:szCs w:val="21"/>
              </w:rPr>
              <w:t>,</w:t>
            </w:r>
            <w:r>
              <w:rPr>
                <w:rFonts w:hint="eastAsia" w:ascii="宋体" w:hAnsi="宋体" w:cs="宋体"/>
                <w:szCs w:val="21"/>
              </w:rPr>
              <w:t>并确定更新不可接受风险因素从而进行有效控制等方面的管理要求进行了规定，满足要求。</w:t>
            </w:r>
            <w:r>
              <w:rPr>
                <w:rFonts w:hint="eastAsia" w:asciiTheme="minorEastAsia" w:hAnsiTheme="minorEastAsia" w:eastAsiaTheme="minorEastAsia" w:cstheme="minorEastAsia"/>
                <w:bCs/>
                <w:szCs w:val="21"/>
              </w:rPr>
              <w:t>基本合理。</w:t>
            </w:r>
          </w:p>
          <w:p>
            <w:pPr>
              <w:spacing w:line="360" w:lineRule="auto"/>
              <w:ind w:firstLine="420" w:firstLineChars="200"/>
              <w:rPr>
                <w:rFonts w:ascii="宋体" w:hAnsi="宋体" w:cs="宋体"/>
                <w:szCs w:val="21"/>
              </w:rPr>
            </w:pPr>
            <w:r>
              <w:rPr>
                <w:rFonts w:hint="eastAsia" w:ascii="宋体" w:hAnsi="宋体" w:cs="宋体"/>
                <w:szCs w:val="21"/>
              </w:rPr>
              <w:t>查到《危险源辨识与评价一览表》，内容有：作业活动名称、潜在危险因素、时态、状态、可导致事故、可采取控制措施、危险发生的可能性L、损失后果C、频繁程度E、等。识别出生产部危险源有：触电、火灾、机械伤害、听力损害、爆炸、高空坠落、中毒、职业病、人身伤害等。优先控制风险采用“LEC”方法进行评价。提供《不可接受风险清单》有：</w:t>
            </w:r>
            <w:r>
              <w:rPr>
                <w:rFonts w:hint="eastAsia" w:ascii="宋体" w:hAnsi="宋体" w:cs="宋体"/>
                <w:szCs w:val="21"/>
                <w:lang w:val="en-US" w:eastAsia="zh-CN"/>
              </w:rPr>
              <w:t>机械</w:t>
            </w:r>
            <w:r>
              <w:rPr>
                <w:rFonts w:hint="eastAsia"/>
              </w:rPr>
              <w:t>伤害</w:t>
            </w:r>
            <w:r>
              <w:rPr>
                <w:rFonts w:hint="eastAsia" w:ascii="宋体" w:hAnsi="宋体" w:cs="宋体"/>
                <w:szCs w:val="21"/>
              </w:rPr>
              <w:t>；</w:t>
            </w:r>
            <w:r>
              <w:rPr>
                <w:rFonts w:hint="eastAsia" w:ascii="宋体" w:hAnsi="宋体" w:cs="宋体"/>
                <w:szCs w:val="21"/>
                <w:lang w:val="en-US" w:eastAsia="zh-CN"/>
              </w:rPr>
              <w:t>火灾</w:t>
            </w:r>
            <w:r>
              <w:rPr>
                <w:rFonts w:hint="eastAsia" w:ascii="宋体" w:hAnsi="宋体" w:cs="宋体"/>
                <w:szCs w:val="21"/>
              </w:rPr>
              <w:t>爆炸；</w:t>
            </w:r>
            <w:r>
              <w:rPr>
                <w:rFonts w:hint="eastAsia" w:ascii="宋体" w:hAnsi="宋体" w:cs="宋体"/>
                <w:szCs w:val="21"/>
                <w:lang w:val="en-US" w:eastAsia="zh-CN"/>
              </w:rPr>
              <w:t>职业病、触电、物体打击</w:t>
            </w:r>
            <w:r>
              <w:rPr>
                <w:rFonts w:hint="eastAsia" w:ascii="宋体" w:hAnsi="宋体" w:cs="宋体"/>
                <w:szCs w:val="21"/>
              </w:rPr>
              <w:t>，并制定有控制措施。</w:t>
            </w:r>
          </w:p>
          <w:p>
            <w:pPr>
              <w:spacing w:line="360" w:lineRule="auto"/>
              <w:ind w:firstLine="420" w:firstLineChars="200"/>
              <w:rPr>
                <w:rFonts w:asciiTheme="minorEastAsia" w:hAnsiTheme="minorEastAsia" w:eastAsiaTheme="minorEastAsia" w:cstheme="minorEastAsia"/>
                <w:szCs w:val="21"/>
              </w:rPr>
            </w:pPr>
            <w:r>
              <w:rPr>
                <w:rFonts w:hint="eastAsia" w:ascii="宋体" w:hAnsi="宋体" w:cs="宋体"/>
                <w:szCs w:val="21"/>
              </w:rPr>
              <w:t xml:space="preserve">评价人： 编制 </w:t>
            </w:r>
            <w:r>
              <w:rPr>
                <w:rFonts w:hint="eastAsia" w:ascii="宋体" w:hAnsi="宋体" w:cs="宋体"/>
                <w:szCs w:val="21"/>
                <w:lang w:val="en-US" w:eastAsia="zh-CN"/>
              </w:rPr>
              <w:t>马玉冰</w:t>
            </w:r>
            <w:r>
              <w:rPr>
                <w:rFonts w:hint="eastAsia" w:ascii="宋体" w:hAnsi="宋体" w:cs="宋体"/>
                <w:szCs w:val="21"/>
              </w:rPr>
              <w:t xml:space="preserve">   审批 </w:t>
            </w:r>
            <w:r>
              <w:rPr>
                <w:rFonts w:hint="eastAsia" w:ascii="宋体" w:hAnsi="宋体" w:cs="宋体"/>
                <w:szCs w:val="21"/>
                <w:lang w:val="en-US" w:eastAsia="zh-CN"/>
              </w:rPr>
              <w:t>易学勇</w:t>
            </w:r>
            <w:r>
              <w:rPr>
                <w:rFonts w:hint="eastAsia" w:ascii="宋体" w:hAnsi="宋体" w:cs="宋体"/>
                <w:szCs w:val="21"/>
              </w:rPr>
              <w:t xml:space="preserve">  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日。以上危险源识别基本全面、无遗漏，评价基本合理。</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160" w:type="dxa"/>
          </w:tcPr>
          <w:p>
            <w:pPr>
              <w:tabs>
                <w:tab w:val="left" w:pos="9720"/>
                <w:tab w:val="left" w:pos="9900"/>
              </w:tabs>
              <w:spacing w:beforeLines="20" w:afterLines="20"/>
              <w:rPr>
                <w:rFonts w:ascii="宋体" w:hAnsi="宋体" w:cs="宋体"/>
                <w:szCs w:val="21"/>
              </w:rPr>
            </w:pPr>
            <w:r>
              <w:rPr>
                <w:rFonts w:hint="eastAsia" w:ascii="宋体" w:hAnsi="宋体" w:cs="宋体"/>
                <w:szCs w:val="21"/>
              </w:rPr>
              <w:t>法律法规和其他要求</w:t>
            </w:r>
          </w:p>
          <w:p>
            <w:pPr>
              <w:spacing w:line="280" w:lineRule="exact"/>
              <w:rPr>
                <w:rFonts w:ascii="宋体" w:hAnsi="宋体" w:cs="宋体"/>
                <w:szCs w:val="21"/>
              </w:rPr>
            </w:pPr>
          </w:p>
          <w:p>
            <w:pPr>
              <w:tabs>
                <w:tab w:val="left" w:pos="9720"/>
                <w:tab w:val="left" w:pos="9900"/>
              </w:tabs>
              <w:spacing w:beforeLines="20" w:afterLines="20"/>
              <w:rPr>
                <w:rFonts w:ascii="宋体" w:hAnsi="宋体" w:cs="宋体"/>
                <w:szCs w:val="21"/>
              </w:rPr>
            </w:pPr>
            <w:r>
              <w:rPr>
                <w:rFonts w:hint="eastAsia" w:ascii="宋体" w:hAnsi="宋体" w:cs="宋体"/>
                <w:szCs w:val="21"/>
              </w:rPr>
              <w:t>合规义务，合规性评价</w:t>
            </w:r>
          </w:p>
        </w:tc>
        <w:tc>
          <w:tcPr>
            <w:tcW w:w="960" w:type="dxa"/>
          </w:tcPr>
          <w:p>
            <w:pPr>
              <w:spacing w:line="360" w:lineRule="auto"/>
              <w:ind w:left="310" w:hanging="310" w:hangingChars="147"/>
              <w:rPr>
                <w:rFonts w:ascii="宋体" w:hAnsi="宋体" w:cs="宋体"/>
                <w:b/>
                <w:bCs/>
                <w:szCs w:val="21"/>
              </w:rPr>
            </w:pPr>
            <w:r>
              <w:rPr>
                <w:rFonts w:hint="eastAsia" w:ascii="宋体" w:hAnsi="宋体" w:cs="宋体"/>
                <w:b/>
                <w:bCs/>
                <w:szCs w:val="21"/>
              </w:rPr>
              <w:t>ES6.1.3</w:t>
            </w:r>
          </w:p>
          <w:p>
            <w:pPr>
              <w:spacing w:line="360" w:lineRule="auto"/>
              <w:ind w:left="310" w:hanging="310" w:hangingChars="147"/>
              <w:rPr>
                <w:rFonts w:ascii="宋体" w:hAnsi="宋体" w:cs="宋体"/>
                <w:b/>
                <w:bCs/>
                <w:szCs w:val="21"/>
              </w:rPr>
            </w:pPr>
          </w:p>
          <w:p>
            <w:pPr>
              <w:spacing w:line="360" w:lineRule="auto"/>
              <w:ind w:left="310" w:hanging="310" w:hangingChars="147"/>
              <w:rPr>
                <w:rFonts w:ascii="宋体" w:hAnsi="宋体" w:cs="宋体"/>
                <w:b/>
                <w:bCs/>
                <w:szCs w:val="21"/>
              </w:rPr>
            </w:pPr>
            <w:r>
              <w:rPr>
                <w:rFonts w:hint="eastAsia" w:ascii="宋体" w:hAnsi="宋体" w:cs="宋体"/>
                <w:b/>
                <w:bCs/>
                <w:szCs w:val="21"/>
              </w:rPr>
              <w:t>ES9.1.2</w:t>
            </w:r>
          </w:p>
          <w:p>
            <w:pPr>
              <w:spacing w:line="360" w:lineRule="auto"/>
              <w:ind w:left="310" w:hanging="310" w:hangingChars="147"/>
              <w:rPr>
                <w:rFonts w:ascii="宋体" w:hAnsi="宋体" w:cs="宋体"/>
                <w:b/>
                <w:bCs/>
                <w:szCs w:val="21"/>
              </w:rPr>
            </w:pPr>
          </w:p>
          <w:p>
            <w:pPr>
              <w:spacing w:line="360" w:lineRule="auto"/>
              <w:ind w:left="310" w:hanging="310" w:hangingChars="147"/>
              <w:rPr>
                <w:rFonts w:ascii="宋体" w:hAnsi="宋体" w:cs="宋体"/>
                <w:b/>
                <w:bCs/>
                <w:szCs w:val="21"/>
              </w:rPr>
            </w:pPr>
          </w:p>
          <w:p>
            <w:pPr>
              <w:pStyle w:val="20"/>
              <w:rPr>
                <w:rFonts w:ascii="宋体" w:hAnsi="宋体" w:cs="宋体"/>
                <w:szCs w:val="21"/>
              </w:rPr>
            </w:pPr>
          </w:p>
        </w:tc>
        <w:tc>
          <w:tcPr>
            <w:tcW w:w="10738" w:type="dxa"/>
            <w:vAlign w:val="center"/>
          </w:tcPr>
          <w:p>
            <w:pPr>
              <w:spacing w:line="360" w:lineRule="auto"/>
              <w:ind w:firstLine="420" w:firstLineChars="200"/>
              <w:rPr>
                <w:rFonts w:ascii="宋体" w:hAnsi="宋体" w:cs="宋体"/>
                <w:szCs w:val="21"/>
              </w:rPr>
            </w:pPr>
            <w:r>
              <w:rPr>
                <w:rFonts w:hint="eastAsia" w:ascii="宋体" w:hAnsi="宋体" w:cs="宋体"/>
                <w:szCs w:val="21"/>
              </w:rPr>
              <w:t>根据《法律法规和其他要求获取与识别控制程序》要求，办公区域由</w:t>
            </w:r>
            <w:r>
              <w:rPr>
                <w:rFonts w:hint="eastAsia" w:ascii="宋体" w:hAnsi="宋体" w:cs="宋体"/>
                <w:szCs w:val="21"/>
                <w:lang w:val="en-US" w:eastAsia="zh-CN"/>
              </w:rPr>
              <w:t>费志刚</w:t>
            </w:r>
            <w:r>
              <w:rPr>
                <w:rFonts w:hint="eastAsia" w:ascii="宋体" w:hAnsi="宋体" w:cs="宋体"/>
                <w:szCs w:val="21"/>
              </w:rPr>
              <w:t>、生产车间由</w:t>
            </w:r>
            <w:r>
              <w:rPr>
                <w:rFonts w:hint="eastAsia" w:ascii="宋体" w:hAnsi="宋体"/>
                <w:szCs w:val="21"/>
                <w:lang w:val="en-US" w:eastAsia="zh-CN"/>
              </w:rPr>
              <w:t>曹志敏</w:t>
            </w:r>
            <w:r>
              <w:rPr>
                <w:rFonts w:hint="eastAsia" w:ascii="宋体" w:hAnsi="宋体" w:cs="宋体"/>
                <w:szCs w:val="21"/>
              </w:rPr>
              <w:t>对法律法规的更新进行跟踪记录，并进行补充。于</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日识别了法律法规清单。获取渠道，网络和期刊等。</w:t>
            </w:r>
          </w:p>
          <w:p>
            <w:pPr>
              <w:spacing w:line="360" w:lineRule="auto"/>
              <w:ind w:firstLine="420" w:firstLineChars="200"/>
              <w:rPr>
                <w:rFonts w:ascii="宋体" w:hAnsi="宋体" w:cs="宋体"/>
                <w:szCs w:val="21"/>
              </w:rPr>
            </w:pPr>
            <w:r>
              <w:rPr>
                <w:rFonts w:hint="eastAsia" w:ascii="宋体" w:hAnsi="宋体" w:cs="宋体"/>
                <w:szCs w:val="21"/>
              </w:rPr>
              <w:t>提供《法律法规和其他要求清单》收集的环境和安全法律法规《中华人民共和国安全生产法》、《中华人民共和国节约能源法》《中华人民共和国环境保护法》等</w:t>
            </w:r>
            <w:r>
              <w:rPr>
                <w:rFonts w:ascii="宋体" w:hAnsi="宋体" w:cs="宋体"/>
                <w:szCs w:val="21"/>
              </w:rPr>
              <w:t>,</w:t>
            </w:r>
            <w:r>
              <w:rPr>
                <w:rFonts w:hint="eastAsia" w:ascii="宋体" w:hAnsi="宋体" w:cs="宋体"/>
                <w:szCs w:val="21"/>
              </w:rPr>
              <w:t>规定了由</w:t>
            </w:r>
            <w:r>
              <w:rPr>
                <w:rFonts w:hint="eastAsia"/>
              </w:rPr>
              <w:t>熊吉、黄海东、李军</w:t>
            </w:r>
            <w:r>
              <w:rPr>
                <w:rFonts w:hint="eastAsia" w:ascii="宋体" w:hAnsi="宋体" w:cs="宋体"/>
                <w:szCs w:val="21"/>
              </w:rPr>
              <w:t>负责组织对公司法律法规及要求遵守程度进行评价。提供了《法律法规和其他要求合规性评价报告》、《中华人民共和国水污染防治法（修正）》、《中华人民共和国大气污染防治法》。</w:t>
            </w:r>
          </w:p>
          <w:p>
            <w:pPr>
              <w:spacing w:line="360" w:lineRule="auto"/>
              <w:ind w:firstLine="210" w:firstLineChars="100"/>
              <w:rPr>
                <w:rFonts w:hint="default"/>
                <w:b/>
                <w:sz w:val="72"/>
                <w:szCs w:val="72"/>
                <w:lang w:val="en-US"/>
              </w:rPr>
            </w:pPr>
            <w:r>
              <w:rPr>
                <w:rFonts w:hint="eastAsia"/>
              </w:rPr>
              <w:t>见</w:t>
            </w:r>
            <w:r>
              <w:rPr>
                <w:szCs w:val="21"/>
              </w:rPr>
              <w:t>20</w:t>
            </w:r>
            <w:r>
              <w:rPr>
                <w:rFonts w:hint="eastAsia"/>
                <w:szCs w:val="21"/>
                <w:lang w:val="en-US" w:eastAsia="zh-CN"/>
              </w:rPr>
              <w:t>20</w:t>
            </w:r>
            <w:r>
              <w:rPr>
                <w:rFonts w:hint="eastAsia"/>
                <w:szCs w:val="21"/>
              </w:rPr>
              <w:t>年度合规性评价报告</w:t>
            </w:r>
            <w:r>
              <w:rPr>
                <w:rFonts w:hint="eastAsia"/>
              </w:rPr>
              <w:t>，日期：</w:t>
            </w:r>
            <w: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日，评价人：</w:t>
            </w:r>
            <w:r>
              <w:rPr>
                <w:rFonts w:hint="eastAsia" w:ascii="宋体" w:hAnsi="宋体" w:eastAsia="宋体" w:cs="宋体"/>
                <w:sz w:val="21"/>
                <w:szCs w:val="21"/>
                <w:lang w:val="en-US" w:eastAsia="zh-CN"/>
              </w:rPr>
              <w:t>易学勇  闫孝强  张勇  马玉冰</w:t>
            </w:r>
            <w:r>
              <w:rPr>
                <w:rFonts w:hint="eastAsia" w:ascii="宋体" w:hAnsi="宋体" w:cs="宋体"/>
                <w:sz w:val="21"/>
                <w:szCs w:val="21"/>
                <w:lang w:val="en-US" w:eastAsia="zh-CN"/>
              </w:rPr>
              <w:t>，批准：易学勇</w:t>
            </w:r>
          </w:p>
          <w:p>
            <w:pPr>
              <w:spacing w:line="360" w:lineRule="auto"/>
              <w:ind w:firstLine="420" w:firstLineChars="200"/>
              <w:rPr>
                <w:rFonts w:ascii="宋体" w:hAnsi="宋体" w:cs="宋体"/>
                <w:szCs w:val="21"/>
              </w:rPr>
            </w:pPr>
            <w:r>
              <w:rPr>
                <w:rFonts w:hint="eastAsia" w:ascii="宋体" w:hAnsi="宋体" w:cs="宋体"/>
                <w:szCs w:val="21"/>
              </w:rPr>
              <w:t>组织进行合规性的评价。包括：中华人民共和国安全生产法、中华人民共和国消防法、中华人民共和国环境保护法、中华人民共和国节约能源法、产品质量法等，识别基本全面。评价结论：满足要求。明确了法律法规及其他要求对公司环境因素、危险源的应用，明确了相应的适用条款。</w:t>
            </w:r>
          </w:p>
          <w:p>
            <w:pPr>
              <w:spacing w:line="360" w:lineRule="auto"/>
              <w:ind w:firstLine="420" w:firstLineChars="200"/>
              <w:rPr>
                <w:rFonts w:ascii="宋体" w:hAnsi="宋体" w:cs="宋体"/>
                <w:szCs w:val="21"/>
              </w:rPr>
            </w:pPr>
            <w:r>
              <w:rPr>
                <w:rFonts w:hint="eastAsia" w:ascii="宋体" w:hAnsi="宋体" w:cs="宋体"/>
                <w:szCs w:val="21"/>
              </w:rPr>
              <w:t>编制《法律法规和其他要求控制程序》，提</w:t>
            </w:r>
            <w:r>
              <w:rPr>
                <w:rFonts w:hint="eastAsia" w:ascii="宋体" w:hAnsi="宋体" w:cs="宋体"/>
                <w:bCs/>
                <w:spacing w:val="10"/>
                <w:szCs w:val="21"/>
                <w:lang w:val="en-GB"/>
              </w:rPr>
              <w:t>供《合规性评价记录》及《合规性评价报告》</w:t>
            </w:r>
            <w:r>
              <w:rPr>
                <w:rFonts w:ascii="宋体" w:hAnsi="宋体" w:cs="宋体"/>
                <w:bCs/>
                <w:spacing w:val="10"/>
                <w:szCs w:val="21"/>
                <w:lang w:val="en-GB"/>
              </w:rPr>
              <w:t>20</w:t>
            </w:r>
            <w:r>
              <w:rPr>
                <w:rFonts w:hint="eastAsia" w:ascii="宋体" w:hAnsi="宋体" w:cs="宋体"/>
                <w:bCs/>
                <w:spacing w:val="10"/>
                <w:szCs w:val="21"/>
                <w:lang w:val="en-US" w:eastAsia="zh-CN"/>
              </w:rPr>
              <w:t>20</w:t>
            </w:r>
            <w:r>
              <w:rPr>
                <w:rFonts w:hint="eastAsia" w:ascii="宋体" w:hAnsi="宋体" w:cs="宋体"/>
                <w:bCs/>
                <w:spacing w:val="10"/>
                <w:szCs w:val="21"/>
                <w:lang w:val="en-GB"/>
              </w:rPr>
              <w:t>年</w:t>
            </w:r>
            <w:r>
              <w:rPr>
                <w:rFonts w:hint="eastAsia" w:ascii="宋体" w:hAnsi="宋体" w:cs="宋体"/>
                <w:bCs/>
                <w:spacing w:val="10"/>
                <w:szCs w:val="21"/>
                <w:lang w:val="en-US" w:eastAsia="zh-CN"/>
              </w:rPr>
              <w:t>4</w:t>
            </w:r>
            <w:r>
              <w:rPr>
                <w:rFonts w:hint="eastAsia" w:ascii="宋体" w:hAnsi="宋体" w:cs="宋体"/>
                <w:bCs/>
                <w:spacing w:val="10"/>
                <w:szCs w:val="21"/>
                <w:lang w:val="en-GB"/>
              </w:rPr>
              <w:t>月</w:t>
            </w:r>
            <w:r>
              <w:rPr>
                <w:rFonts w:hint="eastAsia" w:ascii="宋体" w:hAnsi="宋体" w:cs="宋体"/>
                <w:bCs/>
                <w:spacing w:val="10"/>
                <w:szCs w:val="21"/>
                <w:lang w:val="en-US" w:eastAsia="zh-CN"/>
              </w:rPr>
              <w:t>22</w:t>
            </w:r>
            <w:r>
              <w:rPr>
                <w:rFonts w:hint="eastAsia" w:ascii="宋体" w:hAnsi="宋体" w:cs="宋体"/>
                <w:bCs/>
                <w:spacing w:val="10"/>
                <w:szCs w:val="21"/>
                <w:lang w:val="en-GB"/>
              </w:rPr>
              <w:t>日，由</w:t>
            </w:r>
            <w:r>
              <w:rPr>
                <w:rFonts w:hint="eastAsia" w:ascii="宋体" w:hAnsi="宋体" w:eastAsia="宋体" w:cs="宋体"/>
                <w:sz w:val="21"/>
                <w:szCs w:val="21"/>
                <w:lang w:val="en-US" w:eastAsia="zh-CN"/>
              </w:rPr>
              <w:t>易学勇  闫孝强  张勇  马玉冰</w:t>
            </w:r>
            <w:r>
              <w:rPr>
                <w:rFonts w:hint="eastAsia" w:ascii="宋体" w:hAnsi="宋体" w:cs="宋体"/>
                <w:bCs/>
                <w:spacing w:val="10"/>
                <w:szCs w:val="21"/>
                <w:lang w:val="en-GB"/>
              </w:rPr>
              <w:t>组成的评价小组，在对公司办公区域、生产车间办公环境进行全面检查的基础上，对照环境法规的要求，采购过程及销售过程，公司办公区域的环境管理状况进行评价。评价内容主要为：污水排放、节约用水、噪声排放等固体废弃物的控制情况进行了全面了解，其评</w:t>
            </w:r>
            <w:r>
              <w:rPr>
                <w:rFonts w:hint="eastAsia" w:ascii="宋体" w:hAnsi="宋体" w:cs="宋体"/>
                <w:szCs w:val="21"/>
              </w:rPr>
              <w:t>价结果，均符合有关的环境法规要求。</w:t>
            </w:r>
          </w:p>
          <w:p>
            <w:pPr>
              <w:spacing w:line="360" w:lineRule="auto"/>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在进行环境评价的同时，对职业健康安全方面进行了评价，评价结果没有发现安全事故，遵守职业健康安全相关的法律法规。在销售产品质量方面，严格按国家标准规范执行，没有出现质量事故。</w:t>
            </w:r>
          </w:p>
          <w:p>
            <w:pPr>
              <w:spacing w:line="360" w:lineRule="auto"/>
              <w:ind w:firstLine="556"/>
              <w:rPr>
                <w:rFonts w:ascii="宋体" w:hAnsi="宋体"/>
                <w:szCs w:val="21"/>
              </w:rPr>
            </w:pPr>
            <w:r>
              <w:rPr>
                <w:rFonts w:hint="eastAsia" w:ascii="宋体" w:hAnsi="宋体" w:cs="宋体"/>
                <w:szCs w:val="21"/>
              </w:rPr>
              <w:t>评价结果：</w:t>
            </w:r>
            <w:r>
              <w:rPr>
                <w:rFonts w:hint="eastAsia" w:ascii="宋体" w:hAnsi="宋体"/>
                <w:bCs/>
                <w:szCs w:val="21"/>
              </w:rPr>
              <w:t>从检查的结果来看，</w:t>
            </w:r>
            <w:r>
              <w:rPr>
                <w:rFonts w:hint="eastAsia" w:ascii="宋体" w:hAnsi="宋体"/>
                <w:szCs w:val="21"/>
              </w:rPr>
              <w:t>我公司没有违反国家法律、法规及相关标准，能严格遵守国家有关环境和职业健康安全管理方面的相关规定，密切关注法律法规的变化，并适时调整，严格按体系标准执行。</w:t>
            </w:r>
            <w:r>
              <w:rPr>
                <w:rFonts w:ascii="宋体" w:hAnsi="宋体"/>
                <w:szCs w:val="21"/>
              </w:rPr>
              <w:t>未发生重大安全生产事故，无环境污染事件发生</w:t>
            </w:r>
            <w:r>
              <w:rPr>
                <w:rFonts w:hint="eastAsia" w:ascii="宋体" w:hAnsi="宋体"/>
                <w:szCs w:val="21"/>
              </w:rPr>
              <w:t>，</w:t>
            </w:r>
            <w:r>
              <w:rPr>
                <w:rFonts w:ascii="宋体" w:hAnsi="宋体"/>
                <w:szCs w:val="21"/>
              </w:rPr>
              <w:t>未发生尘肺病、传染病及其他卫生防疫问题事件，无个人或单位投诉</w:t>
            </w:r>
            <w:r>
              <w:rPr>
                <w:rFonts w:hint="eastAsia" w:ascii="宋体" w:hAnsi="宋体"/>
                <w:szCs w:val="21"/>
              </w:rPr>
              <w:t>。</w:t>
            </w:r>
            <w:r>
              <w:rPr>
                <w:rFonts w:ascii="宋体" w:hAnsi="宋体"/>
                <w:szCs w:val="21"/>
              </w:rPr>
              <w:t>执行结果是有效的。对</w:t>
            </w:r>
            <w:r>
              <w:rPr>
                <w:rFonts w:hint="eastAsia" w:ascii="宋体" w:hAnsi="宋体"/>
                <w:szCs w:val="21"/>
              </w:rPr>
              <w:t>公司</w:t>
            </w:r>
            <w:r>
              <w:rPr>
                <w:rFonts w:ascii="宋体" w:hAnsi="宋体"/>
                <w:szCs w:val="21"/>
              </w:rPr>
              <w:t>的环保意识和环境管理水平的提高起到了明显的促进作用。</w:t>
            </w:r>
          </w:p>
          <w:p>
            <w:pPr>
              <w:numPr>
                <w:ilvl w:val="0"/>
                <w:numId w:val="9"/>
              </w:numPr>
              <w:spacing w:line="360" w:lineRule="auto"/>
              <w:rPr>
                <w:rFonts w:ascii="宋体" w:hAnsi="宋体" w:cs="宋体"/>
                <w:szCs w:val="21"/>
              </w:rPr>
            </w:pPr>
            <w:r>
              <w:rPr>
                <w:rFonts w:hint="eastAsia" w:ascii="宋体" w:hAnsi="宋体" w:cs="宋体"/>
                <w:szCs w:val="21"/>
              </w:rPr>
              <w:t>经查合规性评价基本符合要求。</w:t>
            </w:r>
          </w:p>
        </w:tc>
        <w:tc>
          <w:tcPr>
            <w:tcW w:w="85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环境和职业健康安全运行控制</w:t>
            </w:r>
          </w:p>
        </w:tc>
        <w:tc>
          <w:tcPr>
            <w:tcW w:w="960"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E8.1</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S8.1.2</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S8.1.3</w:t>
            </w:r>
          </w:p>
          <w:p>
            <w:pPr>
              <w:rPr>
                <w:rFonts w:asciiTheme="minorEastAsia" w:hAnsiTheme="minorEastAsia" w:eastAsiaTheme="minorEastAsia" w:cstheme="minorEastAsia"/>
                <w:szCs w:val="21"/>
              </w:rPr>
            </w:pPr>
          </w:p>
        </w:tc>
        <w:tc>
          <w:tcPr>
            <w:tcW w:w="10738"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重要环境因素的控制，依据公司的相关规定：节能降耗控制程序、废弃物控制程序、大气污染防治控制程序、噪声控制程序、消防管理控制程序等；</w:t>
            </w:r>
          </w:p>
          <w:p>
            <w:pPr>
              <w:rPr>
                <w:rFonts w:ascii="宋体" w:hAnsi="宋体" w:cs="宋体"/>
                <w:szCs w:val="21"/>
              </w:rPr>
            </w:pPr>
            <w:r>
              <w:rPr>
                <w:rFonts w:hint="eastAsia" w:asciiTheme="minorEastAsia" w:hAnsiTheme="minorEastAsia" w:eastAsiaTheme="minorEastAsia" w:cstheme="minorEastAsia"/>
                <w:bCs/>
                <w:szCs w:val="21"/>
              </w:rPr>
              <w:t>1） 废水控制：公司生产不产生废水，生产用的冷却水循环使用，不外排，生活污水排入市政污水管网。即</w:t>
            </w:r>
            <w:r>
              <w:rPr>
                <w:rFonts w:hint="eastAsia" w:ascii="宋体" w:hAnsi="宋体" w:cs="宋体"/>
                <w:szCs w:val="21"/>
              </w:rPr>
              <w:t>屋面及室外雨水有组织排至厂内雨水管网，雨水经厂内的雨水管收集后通过工业园内雨水管网排入园区内的雨水管网，生活废水进入化粪池进行预处理，再经微动力一体化生活污水处理装置处理后用于厂内外的绿化灌溉或喷洒降尘；生产车间废水沉淀后循环使用不外排。</w:t>
            </w:r>
          </w:p>
          <w:p>
            <w:pPr>
              <w:rPr>
                <w:rFonts w:ascii="宋体" w:cs="宋体"/>
                <w:szCs w:val="21"/>
              </w:rPr>
            </w:pPr>
            <w:r>
              <w:rPr>
                <w:rFonts w:hint="eastAsia" w:ascii="宋体" w:cs="宋体"/>
                <w:szCs w:val="21"/>
              </w:rPr>
              <w:t>2） 噪声主要来源于装载机、破碎机、搅拌机、空压机、锅炉风机、球磨机、蒸压釜等在生产过程中产生的噪声，在采取隔离、加防护罩等措施后对周围环境影响很小。</w:t>
            </w:r>
          </w:p>
          <w:p>
            <w:pPr>
              <w:rPr>
                <w:rFonts w:ascii="宋体" w:cs="宋体"/>
                <w:szCs w:val="21"/>
              </w:rPr>
            </w:pPr>
            <w:r>
              <w:rPr>
                <w:rFonts w:hint="eastAsia" w:ascii="宋体" w:cs="宋体"/>
                <w:szCs w:val="21"/>
              </w:rPr>
              <w:t>3）废气主要来源锅炉、原料进料斗起尘、石沙料堆场起尘、输送粉尘、破碎粉尘、搅拌粉尘，采取的措施分别为：锅炉产生的烟气采用麻石水膜+碱液脱硫除尘系统进行烟气脱硫；其他属无组织排放，粉尘量较小，可忽略不计。</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4）固废控制：（见下表，垃圾处理协议）</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固废排放：垃圾处理，见垃圾清运处理协议。</w:t>
            </w:r>
          </w:p>
          <w:p>
            <w:pPr>
              <w:ind w:firstLine="1050" w:firstLineChars="5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硒鼓墨盒交厂家回收</w:t>
            </w:r>
          </w:p>
          <w:p>
            <w:pPr>
              <w:ind w:firstLine="1050" w:firstLineChars="5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生产固废，收集后重复利用</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提供人员社保清单：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公司制定了安全生产责任属，制定了安全目标考核制定.</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提供员工体检清单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提供员工个人防护清单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运行控制基本满足要求</w:t>
            </w:r>
          </w:p>
          <w:p>
            <w:pPr>
              <w:spacing w:before="120" w:line="160" w:lineRule="exact"/>
              <w:rPr>
                <w:rFonts w:hint="default" w:ascii="方正仿宋简体" w:eastAsia="方正仿宋简体"/>
                <w:b w:val="0"/>
                <w:bCs/>
                <w:lang w:val="en-US" w:eastAsia="zh-CN"/>
              </w:rPr>
            </w:pPr>
            <w:r>
              <w:rPr>
                <w:rFonts w:hint="eastAsia" w:ascii="方正仿宋简体" w:eastAsia="方正仿宋简体"/>
                <w:b w:val="0"/>
                <w:bCs/>
                <w:lang w:val="en-US" w:eastAsia="zh-CN"/>
              </w:rPr>
              <w:t>高压配电房二氧化碳灭火器未按期（2018年2月28日）换药使用，车间有1灭火器失效。开具了不符合。</w:t>
            </w:r>
          </w:p>
          <w:p>
            <w:pPr>
              <w:rPr>
                <w:rFonts w:asciiTheme="minorEastAsia" w:hAnsiTheme="minorEastAsia" w:eastAsiaTheme="minorEastAsia" w:cstheme="minorEastAsia"/>
                <w:bCs/>
                <w:szCs w:val="21"/>
              </w:rPr>
            </w:pPr>
          </w:p>
        </w:tc>
        <w:tc>
          <w:tcPr>
            <w:tcW w:w="85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应急准备和响应</w:t>
            </w:r>
          </w:p>
        </w:tc>
        <w:tc>
          <w:tcPr>
            <w:tcW w:w="960"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ES8.2</w:t>
            </w:r>
          </w:p>
          <w:p>
            <w:pPr>
              <w:rPr>
                <w:rFonts w:asciiTheme="minorEastAsia" w:hAnsiTheme="minorEastAsia" w:eastAsiaTheme="minorEastAsia" w:cstheme="minorEastAsia"/>
                <w:szCs w:val="21"/>
              </w:rPr>
            </w:pPr>
          </w:p>
        </w:tc>
        <w:tc>
          <w:tcPr>
            <w:tcW w:w="10738" w:type="dxa"/>
          </w:tcPr>
          <w:p>
            <w:pPr>
              <w:spacing w:line="360" w:lineRule="auto"/>
              <w:ind w:firstLine="210" w:firstLineChars="100"/>
              <w:rPr>
                <w:rFonts w:ascii="Verdana" w:hAnsi="Verdana" w:cs="Arial"/>
                <w:szCs w:val="21"/>
              </w:rPr>
            </w:pPr>
            <w:r>
              <w:rPr>
                <w:rFonts w:hint="eastAsia" w:ascii="宋体" w:hAnsi="宋体" w:cs="宋体"/>
                <w:szCs w:val="21"/>
                <w:lang w:val="en-GB"/>
              </w:rPr>
              <w:t>制定了《应急准备和响应控制程序》，包含有事件级别及不同级别事件的处理程序、事件处理组织机构及</w:t>
            </w:r>
            <w:r>
              <w:rPr>
                <w:rFonts w:hint="eastAsia" w:ascii="Verdana" w:hAnsi="Verdana" w:cs="Arial"/>
                <w:szCs w:val="21"/>
              </w:rPr>
              <w:t>职责分工、通用及特殊处理程序、各岗位要求等。具有可操作性。</w:t>
            </w:r>
          </w:p>
          <w:p>
            <w:pPr>
              <w:spacing w:line="360" w:lineRule="auto"/>
              <w:ind w:firstLine="210" w:firstLineChars="100"/>
              <w:rPr>
                <w:rFonts w:ascii="Verdana" w:hAnsi="Verdana" w:cs="Arial"/>
                <w:szCs w:val="21"/>
              </w:rPr>
            </w:pPr>
            <w:r>
              <w:rPr>
                <w:rFonts w:hint="eastAsia" w:ascii="Verdana" w:hAnsi="Verdana" w:cs="Arial"/>
                <w:szCs w:val="21"/>
              </w:rPr>
              <w:t>抽查消防训练演习演习</w:t>
            </w:r>
            <w:r>
              <w:rPr>
                <w:rFonts w:hint="eastAsia" w:ascii="Verdana" w:hAnsi="Verdana" w:cs="Arial"/>
                <w:szCs w:val="21"/>
                <w:lang w:val="en-US" w:eastAsia="zh-CN"/>
              </w:rPr>
              <w:t>2020年5月18日</w:t>
            </w:r>
            <w:r>
              <w:rPr>
                <w:rFonts w:hint="eastAsia" w:ascii="Verdana" w:hAnsi="Verdana" w:cs="Arial"/>
                <w:szCs w:val="21"/>
              </w:rPr>
              <w:t>，演练负责人：</w:t>
            </w:r>
            <w:r>
              <w:rPr>
                <w:rFonts w:hint="eastAsia"/>
                <w:sz w:val="21"/>
                <w:szCs w:val="21"/>
                <w:lang w:val="en-US" w:eastAsia="zh-CN"/>
              </w:rPr>
              <w:t>费志刚</w:t>
            </w:r>
            <w:r>
              <w:rPr>
                <w:rFonts w:hint="eastAsia" w:ascii="Verdana" w:hAnsi="Verdana" w:cs="Arial"/>
                <w:szCs w:val="21"/>
              </w:rPr>
              <w:t>，地点：公司办公楼，参加部门：公司各部门人员，演练的效果：</w:t>
            </w:r>
          </w:p>
          <w:p>
            <w:pPr>
              <w:spacing w:line="360" w:lineRule="auto"/>
              <w:ind w:firstLine="210" w:firstLineChars="100"/>
              <w:rPr>
                <w:rFonts w:ascii="Verdana" w:hAnsi="Verdana" w:cs="Arial"/>
                <w:szCs w:val="21"/>
              </w:rPr>
            </w:pPr>
            <w:r>
              <w:rPr>
                <w:rFonts w:hint="eastAsia" w:ascii="Verdana" w:hAnsi="Verdana" w:cs="Arial"/>
                <w:szCs w:val="21"/>
              </w:rPr>
              <w:t>从整个演练过程看：各参加演练单位比较认真，熟练；主要负责人及安全负责人都积极参与，整个演练按照预定的计划进展，达到预定的演练目的；</w:t>
            </w:r>
            <w:r>
              <w:rPr>
                <w:rFonts w:ascii="Verdana" w:hAnsi="Verdana" w:cs="Arial"/>
                <w:szCs w:val="21"/>
              </w:rPr>
              <w:t>通过这场演习，</w:t>
            </w:r>
            <w:r>
              <w:rPr>
                <w:rFonts w:hint="eastAsia" w:ascii="Verdana" w:hAnsi="Verdana" w:cs="Arial"/>
                <w:szCs w:val="21"/>
              </w:rPr>
              <w:t>增强了员工消防知识，学会了安全逃离火灾现场的方法，对火灾危险也有限更加深刻的认识；同时在活动过程中也增强了员工团防意识</w:t>
            </w:r>
            <w:r>
              <w:rPr>
                <w:rFonts w:ascii="Verdana" w:hAnsi="Verdana" w:cs="Arial"/>
                <w:szCs w:val="21"/>
              </w:rPr>
              <w:t>。虽然只是一场演习，却可以看得出公司防范于未然的意识，看得出公司对消防工作的重视，对员工人身安全的重视。</w:t>
            </w:r>
          </w:p>
          <w:p>
            <w:pPr>
              <w:pStyle w:val="20"/>
              <w:spacing w:line="360" w:lineRule="auto"/>
              <w:ind w:firstLine="460" w:firstLineChars="200"/>
              <w:rPr>
                <w:rFonts w:ascii="Verdana" w:hAnsi="Verdana" w:cs="Arial"/>
                <w:szCs w:val="21"/>
              </w:rPr>
            </w:pPr>
            <w:r>
              <w:rPr>
                <w:rFonts w:hint="eastAsia" w:ascii="Verdana" w:hAnsi="Verdana" w:cs="Arial"/>
                <w:szCs w:val="21"/>
              </w:rPr>
              <w:t>组织参加演习人员对应急预案和演习情况进行了评审，评审未引起文件的更改。</w:t>
            </w:r>
          </w:p>
          <w:p>
            <w:pPr>
              <w:spacing w:line="360" w:lineRule="auto"/>
              <w:rPr>
                <w:rFonts w:hint="eastAsia" w:ascii="宋体" w:hAnsi="宋体" w:cs="宋体"/>
                <w:lang w:val="en-US" w:eastAsia="zh-CN"/>
              </w:rPr>
            </w:pPr>
            <w:r>
              <w:rPr>
                <w:rFonts w:hint="eastAsia"/>
                <w:lang w:val="en-GB"/>
              </w:rPr>
              <w:t>评价人员：</w:t>
            </w:r>
            <w:r>
              <w:rPr>
                <w:rFonts w:hint="eastAsia"/>
                <w:lang w:val="en-US" w:eastAsia="zh-CN"/>
              </w:rPr>
              <w:t>易学勇</w:t>
            </w:r>
            <w:r>
              <w:rPr>
                <w:rFonts w:hint="eastAsia"/>
                <w:lang w:val="en-GB"/>
              </w:rPr>
              <w:t>，</w:t>
            </w:r>
            <w:r>
              <w:rPr>
                <w:rFonts w:hint="eastAsia"/>
              </w:rPr>
              <w:t>应急准备和响应实施方案具有可操作性，应急求援人员已基本掌握该方案，能够应付火灾的突发事件，评价日期：</w:t>
            </w:r>
            <w:r>
              <w:rPr>
                <w:rFonts w:ascii="宋体" w:hAnsi="宋体" w:cs="宋体"/>
                <w:lang w:val="en-GB"/>
              </w:rPr>
              <w:t>20</w:t>
            </w:r>
            <w:r>
              <w:rPr>
                <w:rFonts w:hint="eastAsia" w:ascii="宋体" w:hAnsi="宋体" w:cs="宋体"/>
                <w:lang w:val="en-US" w:eastAsia="zh-CN"/>
              </w:rPr>
              <w:t>20</w:t>
            </w:r>
            <w:r>
              <w:rPr>
                <w:rFonts w:ascii="宋体" w:hAnsi="宋体" w:cs="宋体"/>
                <w:lang w:val="en-GB"/>
              </w:rPr>
              <w:t>.</w:t>
            </w:r>
            <w:r>
              <w:rPr>
                <w:rFonts w:hint="eastAsia" w:ascii="宋体" w:hAnsi="宋体" w:cs="宋体"/>
                <w:lang w:val="en-US" w:eastAsia="zh-CN"/>
              </w:rPr>
              <w:t>5</w:t>
            </w:r>
            <w:r>
              <w:rPr>
                <w:rFonts w:ascii="宋体" w:hAnsi="宋体" w:cs="宋体"/>
                <w:lang w:val="en-GB"/>
              </w:rPr>
              <w:t>.</w:t>
            </w:r>
            <w:r>
              <w:rPr>
                <w:rFonts w:hint="eastAsia" w:ascii="宋体" w:hAnsi="宋体" w:cs="宋体"/>
              </w:rPr>
              <w:t>1</w:t>
            </w:r>
            <w:r>
              <w:rPr>
                <w:rFonts w:hint="eastAsia" w:ascii="宋体" w:hAnsi="宋体" w:cs="宋体"/>
                <w:lang w:val="en-US" w:eastAsia="zh-CN"/>
              </w:rPr>
              <w:t>8</w:t>
            </w:r>
          </w:p>
          <w:p>
            <w:pPr>
              <w:spacing w:line="36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360" w:lineRule="auto"/>
              <w:rPr>
                <w:rFonts w:hint="eastAsia" w:ascii="宋体" w:hAnsi="宋体" w:cs="宋体"/>
                <w:lang w:val="en-US" w:eastAsia="zh-CN"/>
              </w:rPr>
            </w:pPr>
            <w:r>
              <w:rPr>
                <w:rFonts w:hint="eastAsia" w:asciiTheme="minorEastAsia" w:hAnsiTheme="minorEastAsia" w:eastAsiaTheme="minorEastAsia" w:cstheme="minorEastAsia"/>
                <w:bCs/>
                <w:szCs w:val="21"/>
              </w:rPr>
              <w:t>基本符合。</w:t>
            </w:r>
          </w:p>
        </w:tc>
        <w:tc>
          <w:tcPr>
            <w:tcW w:w="851" w:type="dxa"/>
          </w:tcPr>
          <w:p>
            <w:pPr>
              <w:rPr>
                <w:szCs w:val="21"/>
              </w:rPr>
            </w:p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A643E"/>
    <w:multiLevelType w:val="singleLevel"/>
    <w:tmpl w:val="9B9A643E"/>
    <w:lvl w:ilvl="0" w:tentative="0">
      <w:start w:val="1"/>
      <w:numFmt w:val="decimal"/>
      <w:suff w:val="nothing"/>
      <w:lvlText w:val="%1、"/>
      <w:lvlJc w:val="left"/>
    </w:lvl>
  </w:abstractNum>
  <w:abstractNum w:abstractNumId="1">
    <w:nsid w:val="D5DC70DA"/>
    <w:multiLevelType w:val="singleLevel"/>
    <w:tmpl w:val="D5DC70DA"/>
    <w:lvl w:ilvl="0" w:tentative="0">
      <w:start w:val="1"/>
      <w:numFmt w:val="decimal"/>
      <w:suff w:val="nothing"/>
      <w:lvlText w:val="%1、"/>
      <w:lvlJc w:val="left"/>
    </w:lvl>
  </w:abstractNum>
  <w:abstractNum w:abstractNumId="2">
    <w:nsid w:val="E71B5DAC"/>
    <w:multiLevelType w:val="singleLevel"/>
    <w:tmpl w:val="E71B5DAC"/>
    <w:lvl w:ilvl="0" w:tentative="0">
      <w:start w:val="1"/>
      <w:numFmt w:val="decimal"/>
      <w:suff w:val="space"/>
      <w:lvlText w:val="%1."/>
      <w:lvlJc w:val="left"/>
    </w:lvl>
  </w:abstractNum>
  <w:abstractNum w:abstractNumId="3">
    <w:nsid w:val="F8145567"/>
    <w:multiLevelType w:val="singleLevel"/>
    <w:tmpl w:val="F8145567"/>
    <w:lvl w:ilvl="0" w:tentative="0">
      <w:start w:val="3"/>
      <w:numFmt w:val="decimal"/>
      <w:suff w:val="nothing"/>
      <w:lvlText w:val="%1、"/>
      <w:lvlJc w:val="left"/>
    </w:lvl>
  </w:abstractNum>
  <w:abstractNum w:abstractNumId="4">
    <w:nsid w:val="1CF80A99"/>
    <w:multiLevelType w:val="multilevel"/>
    <w:tmpl w:val="1CF80A99"/>
    <w:lvl w:ilvl="0" w:tentative="0">
      <w:start w:val="5"/>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0D838D"/>
    <w:multiLevelType w:val="singleLevel"/>
    <w:tmpl w:val="500D838D"/>
    <w:lvl w:ilvl="0" w:tentative="0">
      <w:start w:val="2"/>
      <w:numFmt w:val="decimal"/>
      <w:suff w:val="nothing"/>
      <w:lvlText w:val="（%1）"/>
      <w:lvlJc w:val="left"/>
    </w:lvl>
  </w:abstractNum>
  <w:abstractNum w:abstractNumId="6">
    <w:nsid w:val="5A6FD64E"/>
    <w:multiLevelType w:val="singleLevel"/>
    <w:tmpl w:val="5A6FD64E"/>
    <w:lvl w:ilvl="0" w:tentative="0">
      <w:start w:val="1"/>
      <w:numFmt w:val="decimal"/>
      <w:suff w:val="nothing"/>
      <w:lvlText w:val="%1、"/>
      <w:lvlJc w:val="left"/>
    </w:lvl>
  </w:abstractNum>
  <w:abstractNum w:abstractNumId="7">
    <w:nsid w:val="62A507B7"/>
    <w:multiLevelType w:val="singleLevel"/>
    <w:tmpl w:val="62A507B7"/>
    <w:lvl w:ilvl="0" w:tentative="0">
      <w:start w:val="1"/>
      <w:numFmt w:val="decimal"/>
      <w:suff w:val="nothing"/>
      <w:lvlText w:val="%1）"/>
      <w:lvlJc w:val="left"/>
    </w:lvl>
  </w:abstractNum>
  <w:abstractNum w:abstractNumId="8">
    <w:nsid w:val="71DB2B6F"/>
    <w:multiLevelType w:val="multilevel"/>
    <w:tmpl w:val="71DB2B6F"/>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8"/>
  </w:num>
  <w:num w:numId="4">
    <w:abstractNumId w:val="0"/>
  </w:num>
  <w:num w:numId="5">
    <w:abstractNumId w:val="5"/>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0AE"/>
    <w:rsid w:val="000006D8"/>
    <w:rsid w:val="00000AF6"/>
    <w:rsid w:val="00003B90"/>
    <w:rsid w:val="00003DF9"/>
    <w:rsid w:val="00005562"/>
    <w:rsid w:val="000058CD"/>
    <w:rsid w:val="00005BB9"/>
    <w:rsid w:val="000066A8"/>
    <w:rsid w:val="00007D0C"/>
    <w:rsid w:val="00010B6C"/>
    <w:rsid w:val="00011201"/>
    <w:rsid w:val="00013127"/>
    <w:rsid w:val="00013542"/>
    <w:rsid w:val="00013FDC"/>
    <w:rsid w:val="00014681"/>
    <w:rsid w:val="0001630D"/>
    <w:rsid w:val="00016400"/>
    <w:rsid w:val="000165F8"/>
    <w:rsid w:val="00021427"/>
    <w:rsid w:val="00021448"/>
    <w:rsid w:val="0002224C"/>
    <w:rsid w:val="000230D8"/>
    <w:rsid w:val="0002342B"/>
    <w:rsid w:val="000237F6"/>
    <w:rsid w:val="00023B4E"/>
    <w:rsid w:val="00024542"/>
    <w:rsid w:val="00024A95"/>
    <w:rsid w:val="00024F6D"/>
    <w:rsid w:val="00025296"/>
    <w:rsid w:val="00026484"/>
    <w:rsid w:val="00026FDD"/>
    <w:rsid w:val="00027084"/>
    <w:rsid w:val="000325D7"/>
    <w:rsid w:val="0003373A"/>
    <w:rsid w:val="00034A21"/>
    <w:rsid w:val="0003528B"/>
    <w:rsid w:val="000357EA"/>
    <w:rsid w:val="0003582B"/>
    <w:rsid w:val="0003591C"/>
    <w:rsid w:val="00035B70"/>
    <w:rsid w:val="000400E2"/>
    <w:rsid w:val="00041CB4"/>
    <w:rsid w:val="00042845"/>
    <w:rsid w:val="00042E74"/>
    <w:rsid w:val="00043BFA"/>
    <w:rsid w:val="00043C80"/>
    <w:rsid w:val="00044058"/>
    <w:rsid w:val="00044595"/>
    <w:rsid w:val="00044D37"/>
    <w:rsid w:val="00045D6A"/>
    <w:rsid w:val="00046D7D"/>
    <w:rsid w:val="0004770E"/>
    <w:rsid w:val="000477B2"/>
    <w:rsid w:val="00050E61"/>
    <w:rsid w:val="00051743"/>
    <w:rsid w:val="00051FC7"/>
    <w:rsid w:val="00052697"/>
    <w:rsid w:val="00052EDC"/>
    <w:rsid w:val="000542A0"/>
    <w:rsid w:val="00054C43"/>
    <w:rsid w:val="000552D4"/>
    <w:rsid w:val="00055517"/>
    <w:rsid w:val="000570CC"/>
    <w:rsid w:val="00060914"/>
    <w:rsid w:val="00060B55"/>
    <w:rsid w:val="00060E2E"/>
    <w:rsid w:val="00062369"/>
    <w:rsid w:val="00062E46"/>
    <w:rsid w:val="00064067"/>
    <w:rsid w:val="000649E0"/>
    <w:rsid w:val="00065AD5"/>
    <w:rsid w:val="00066821"/>
    <w:rsid w:val="00067008"/>
    <w:rsid w:val="00067168"/>
    <w:rsid w:val="00067A0F"/>
    <w:rsid w:val="00067B69"/>
    <w:rsid w:val="000712FC"/>
    <w:rsid w:val="0007388F"/>
    <w:rsid w:val="000759E0"/>
    <w:rsid w:val="000764FF"/>
    <w:rsid w:val="00076E55"/>
    <w:rsid w:val="000804A4"/>
    <w:rsid w:val="00081345"/>
    <w:rsid w:val="000815A3"/>
    <w:rsid w:val="000831D7"/>
    <w:rsid w:val="00083A24"/>
    <w:rsid w:val="00085A19"/>
    <w:rsid w:val="000860F1"/>
    <w:rsid w:val="0009145B"/>
    <w:rsid w:val="000915E2"/>
    <w:rsid w:val="00092F3A"/>
    <w:rsid w:val="00093361"/>
    <w:rsid w:val="000940EF"/>
    <w:rsid w:val="00095137"/>
    <w:rsid w:val="00095DA4"/>
    <w:rsid w:val="000A0AAD"/>
    <w:rsid w:val="000A3438"/>
    <w:rsid w:val="000A60FC"/>
    <w:rsid w:val="000B24A4"/>
    <w:rsid w:val="000B27C8"/>
    <w:rsid w:val="000B3541"/>
    <w:rsid w:val="000B36CF"/>
    <w:rsid w:val="000B3A37"/>
    <w:rsid w:val="000B3BCA"/>
    <w:rsid w:val="000B525A"/>
    <w:rsid w:val="000B54B9"/>
    <w:rsid w:val="000B6328"/>
    <w:rsid w:val="000B66F2"/>
    <w:rsid w:val="000B75B4"/>
    <w:rsid w:val="000B7BA6"/>
    <w:rsid w:val="000C29F7"/>
    <w:rsid w:val="000C4652"/>
    <w:rsid w:val="000C4B3A"/>
    <w:rsid w:val="000C4E34"/>
    <w:rsid w:val="000C55E4"/>
    <w:rsid w:val="000C6350"/>
    <w:rsid w:val="000C6359"/>
    <w:rsid w:val="000C6395"/>
    <w:rsid w:val="000C6653"/>
    <w:rsid w:val="000D034C"/>
    <w:rsid w:val="000D0B44"/>
    <w:rsid w:val="000D2AD7"/>
    <w:rsid w:val="000D3E88"/>
    <w:rsid w:val="000E0233"/>
    <w:rsid w:val="000E0DB7"/>
    <w:rsid w:val="000E12A8"/>
    <w:rsid w:val="000E4FA4"/>
    <w:rsid w:val="000E7118"/>
    <w:rsid w:val="000E71F3"/>
    <w:rsid w:val="000E7226"/>
    <w:rsid w:val="000F0270"/>
    <w:rsid w:val="000F0D61"/>
    <w:rsid w:val="000F0D7A"/>
    <w:rsid w:val="000F0F7E"/>
    <w:rsid w:val="000F1FD3"/>
    <w:rsid w:val="000F2701"/>
    <w:rsid w:val="000F2D62"/>
    <w:rsid w:val="000F5F9D"/>
    <w:rsid w:val="00100E6B"/>
    <w:rsid w:val="00102A28"/>
    <w:rsid w:val="00103500"/>
    <w:rsid w:val="00103AD6"/>
    <w:rsid w:val="00104F8C"/>
    <w:rsid w:val="001061D4"/>
    <w:rsid w:val="0010762B"/>
    <w:rsid w:val="00110B62"/>
    <w:rsid w:val="00110F91"/>
    <w:rsid w:val="00111A8C"/>
    <w:rsid w:val="00112782"/>
    <w:rsid w:val="00113274"/>
    <w:rsid w:val="00113541"/>
    <w:rsid w:val="00113979"/>
    <w:rsid w:val="00113BA6"/>
    <w:rsid w:val="00114B5A"/>
    <w:rsid w:val="001164EA"/>
    <w:rsid w:val="001165AF"/>
    <w:rsid w:val="00116C60"/>
    <w:rsid w:val="00117297"/>
    <w:rsid w:val="001201A2"/>
    <w:rsid w:val="0012043B"/>
    <w:rsid w:val="0012062F"/>
    <w:rsid w:val="001218AE"/>
    <w:rsid w:val="00121BFE"/>
    <w:rsid w:val="00121C01"/>
    <w:rsid w:val="00125683"/>
    <w:rsid w:val="00126EAD"/>
    <w:rsid w:val="00127D5F"/>
    <w:rsid w:val="00131323"/>
    <w:rsid w:val="00131E26"/>
    <w:rsid w:val="00132047"/>
    <w:rsid w:val="00132E6E"/>
    <w:rsid w:val="00134980"/>
    <w:rsid w:val="001362DE"/>
    <w:rsid w:val="0013680B"/>
    <w:rsid w:val="00136C2E"/>
    <w:rsid w:val="0013725B"/>
    <w:rsid w:val="001373A1"/>
    <w:rsid w:val="00141599"/>
    <w:rsid w:val="001428AA"/>
    <w:rsid w:val="001455F6"/>
    <w:rsid w:val="001503D6"/>
    <w:rsid w:val="001503E3"/>
    <w:rsid w:val="0015045E"/>
    <w:rsid w:val="00150A51"/>
    <w:rsid w:val="00152578"/>
    <w:rsid w:val="0015318D"/>
    <w:rsid w:val="001532A4"/>
    <w:rsid w:val="00156A13"/>
    <w:rsid w:val="00160DEE"/>
    <w:rsid w:val="00161B98"/>
    <w:rsid w:val="00161C7B"/>
    <w:rsid w:val="00161D50"/>
    <w:rsid w:val="00164759"/>
    <w:rsid w:val="00165ACC"/>
    <w:rsid w:val="00167105"/>
    <w:rsid w:val="00167A09"/>
    <w:rsid w:val="00167C6D"/>
    <w:rsid w:val="00167E61"/>
    <w:rsid w:val="00170039"/>
    <w:rsid w:val="00171DD5"/>
    <w:rsid w:val="00172CDE"/>
    <w:rsid w:val="00174B58"/>
    <w:rsid w:val="001763EE"/>
    <w:rsid w:val="00176E59"/>
    <w:rsid w:val="0017723E"/>
    <w:rsid w:val="00177670"/>
    <w:rsid w:val="00182D6A"/>
    <w:rsid w:val="00182DFD"/>
    <w:rsid w:val="00182ED1"/>
    <w:rsid w:val="00183422"/>
    <w:rsid w:val="00184024"/>
    <w:rsid w:val="001854E4"/>
    <w:rsid w:val="001865A5"/>
    <w:rsid w:val="001865CC"/>
    <w:rsid w:val="00186D1A"/>
    <w:rsid w:val="00190DAD"/>
    <w:rsid w:val="00192B4B"/>
    <w:rsid w:val="00192FF0"/>
    <w:rsid w:val="00193594"/>
    <w:rsid w:val="0019698C"/>
    <w:rsid w:val="00197A17"/>
    <w:rsid w:val="00197E7B"/>
    <w:rsid w:val="001A0010"/>
    <w:rsid w:val="001A0271"/>
    <w:rsid w:val="001A0386"/>
    <w:rsid w:val="001A1795"/>
    <w:rsid w:val="001A26B6"/>
    <w:rsid w:val="001A2D7F"/>
    <w:rsid w:val="001A7514"/>
    <w:rsid w:val="001A7792"/>
    <w:rsid w:val="001A78DA"/>
    <w:rsid w:val="001B0503"/>
    <w:rsid w:val="001B30BF"/>
    <w:rsid w:val="001B3D29"/>
    <w:rsid w:val="001B733E"/>
    <w:rsid w:val="001B7B3A"/>
    <w:rsid w:val="001C0228"/>
    <w:rsid w:val="001C050F"/>
    <w:rsid w:val="001C1750"/>
    <w:rsid w:val="001C446B"/>
    <w:rsid w:val="001C56CA"/>
    <w:rsid w:val="001D11FB"/>
    <w:rsid w:val="001D2545"/>
    <w:rsid w:val="001D276F"/>
    <w:rsid w:val="001D45A7"/>
    <w:rsid w:val="001D5E29"/>
    <w:rsid w:val="001D7441"/>
    <w:rsid w:val="001E08F3"/>
    <w:rsid w:val="001E0A7F"/>
    <w:rsid w:val="001E1462"/>
    <w:rsid w:val="001E55A5"/>
    <w:rsid w:val="001E6D99"/>
    <w:rsid w:val="001E7FEB"/>
    <w:rsid w:val="001F0441"/>
    <w:rsid w:val="001F3668"/>
    <w:rsid w:val="001F4953"/>
    <w:rsid w:val="001F516E"/>
    <w:rsid w:val="001F606E"/>
    <w:rsid w:val="001F7FFC"/>
    <w:rsid w:val="002002D5"/>
    <w:rsid w:val="00200384"/>
    <w:rsid w:val="002004CC"/>
    <w:rsid w:val="00201111"/>
    <w:rsid w:val="00201D2E"/>
    <w:rsid w:val="00201D35"/>
    <w:rsid w:val="00203DB0"/>
    <w:rsid w:val="00205FF8"/>
    <w:rsid w:val="00206746"/>
    <w:rsid w:val="002069DB"/>
    <w:rsid w:val="00206EF8"/>
    <w:rsid w:val="00207165"/>
    <w:rsid w:val="00210A9A"/>
    <w:rsid w:val="002121A3"/>
    <w:rsid w:val="00212CB8"/>
    <w:rsid w:val="002134FE"/>
    <w:rsid w:val="0021431D"/>
    <w:rsid w:val="00215790"/>
    <w:rsid w:val="00215B18"/>
    <w:rsid w:val="00217C82"/>
    <w:rsid w:val="00220251"/>
    <w:rsid w:val="002207A6"/>
    <w:rsid w:val="00221AFF"/>
    <w:rsid w:val="00224044"/>
    <w:rsid w:val="0022460C"/>
    <w:rsid w:val="00224F92"/>
    <w:rsid w:val="00225BAB"/>
    <w:rsid w:val="00226635"/>
    <w:rsid w:val="00227AB5"/>
    <w:rsid w:val="00230792"/>
    <w:rsid w:val="002308F2"/>
    <w:rsid w:val="00231C73"/>
    <w:rsid w:val="00232905"/>
    <w:rsid w:val="002408CE"/>
    <w:rsid w:val="00240CA1"/>
    <w:rsid w:val="00241636"/>
    <w:rsid w:val="00241B79"/>
    <w:rsid w:val="002435CC"/>
    <w:rsid w:val="002439D3"/>
    <w:rsid w:val="00243B9F"/>
    <w:rsid w:val="00244B96"/>
    <w:rsid w:val="00245462"/>
    <w:rsid w:val="0024679C"/>
    <w:rsid w:val="00246C74"/>
    <w:rsid w:val="00247441"/>
    <w:rsid w:val="00247B30"/>
    <w:rsid w:val="00250AC7"/>
    <w:rsid w:val="00250B89"/>
    <w:rsid w:val="00250BC1"/>
    <w:rsid w:val="00250DD4"/>
    <w:rsid w:val="0025135D"/>
    <w:rsid w:val="00252BE2"/>
    <w:rsid w:val="00252DF9"/>
    <w:rsid w:val="002530BC"/>
    <w:rsid w:val="00253F23"/>
    <w:rsid w:val="0025578B"/>
    <w:rsid w:val="00255B29"/>
    <w:rsid w:val="002563B0"/>
    <w:rsid w:val="0026014F"/>
    <w:rsid w:val="00261BA3"/>
    <w:rsid w:val="00262AF3"/>
    <w:rsid w:val="00262D0F"/>
    <w:rsid w:val="00266850"/>
    <w:rsid w:val="00271B16"/>
    <w:rsid w:val="00272022"/>
    <w:rsid w:val="00273E21"/>
    <w:rsid w:val="0027435A"/>
    <w:rsid w:val="00275B75"/>
    <w:rsid w:val="002760A9"/>
    <w:rsid w:val="0027669A"/>
    <w:rsid w:val="00276B24"/>
    <w:rsid w:val="0028027D"/>
    <w:rsid w:val="002803E2"/>
    <w:rsid w:val="00281B6C"/>
    <w:rsid w:val="00282600"/>
    <w:rsid w:val="00283900"/>
    <w:rsid w:val="00283BA5"/>
    <w:rsid w:val="00284283"/>
    <w:rsid w:val="0028449A"/>
    <w:rsid w:val="00284D93"/>
    <w:rsid w:val="00285D8D"/>
    <w:rsid w:val="00285F92"/>
    <w:rsid w:val="002878A7"/>
    <w:rsid w:val="002927F5"/>
    <w:rsid w:val="002939AD"/>
    <w:rsid w:val="0029479B"/>
    <w:rsid w:val="00294832"/>
    <w:rsid w:val="00296B99"/>
    <w:rsid w:val="00296CED"/>
    <w:rsid w:val="002A08BC"/>
    <w:rsid w:val="002A2EAA"/>
    <w:rsid w:val="002A3116"/>
    <w:rsid w:val="002A5216"/>
    <w:rsid w:val="002A52FC"/>
    <w:rsid w:val="002A5B92"/>
    <w:rsid w:val="002A6E49"/>
    <w:rsid w:val="002A767E"/>
    <w:rsid w:val="002B03FA"/>
    <w:rsid w:val="002B0BAF"/>
    <w:rsid w:val="002B1852"/>
    <w:rsid w:val="002B2260"/>
    <w:rsid w:val="002B33F0"/>
    <w:rsid w:val="002B416E"/>
    <w:rsid w:val="002B4C80"/>
    <w:rsid w:val="002B63A3"/>
    <w:rsid w:val="002B7394"/>
    <w:rsid w:val="002B7B48"/>
    <w:rsid w:val="002B7FFD"/>
    <w:rsid w:val="002C0A48"/>
    <w:rsid w:val="002C0C45"/>
    <w:rsid w:val="002C25F9"/>
    <w:rsid w:val="002C3340"/>
    <w:rsid w:val="002C3DFC"/>
    <w:rsid w:val="002C4BC9"/>
    <w:rsid w:val="002C6751"/>
    <w:rsid w:val="002C7BF3"/>
    <w:rsid w:val="002D2BBE"/>
    <w:rsid w:val="002D36AC"/>
    <w:rsid w:val="002D57C1"/>
    <w:rsid w:val="002E239F"/>
    <w:rsid w:val="002E2412"/>
    <w:rsid w:val="002E4419"/>
    <w:rsid w:val="002E482D"/>
    <w:rsid w:val="002E5154"/>
    <w:rsid w:val="002E798F"/>
    <w:rsid w:val="002F0AED"/>
    <w:rsid w:val="002F13E6"/>
    <w:rsid w:val="002F158F"/>
    <w:rsid w:val="002F191A"/>
    <w:rsid w:val="002F1C7F"/>
    <w:rsid w:val="002F3485"/>
    <w:rsid w:val="002F3D11"/>
    <w:rsid w:val="002F566D"/>
    <w:rsid w:val="002F5BA4"/>
    <w:rsid w:val="002F5C0D"/>
    <w:rsid w:val="002F5C35"/>
    <w:rsid w:val="002F6E14"/>
    <w:rsid w:val="002F7D8F"/>
    <w:rsid w:val="00300869"/>
    <w:rsid w:val="00302B44"/>
    <w:rsid w:val="00302DAF"/>
    <w:rsid w:val="00304062"/>
    <w:rsid w:val="00304772"/>
    <w:rsid w:val="00306719"/>
    <w:rsid w:val="00316125"/>
    <w:rsid w:val="00317BBD"/>
    <w:rsid w:val="003224A8"/>
    <w:rsid w:val="003227F7"/>
    <w:rsid w:val="0032406B"/>
    <w:rsid w:val="00324557"/>
    <w:rsid w:val="0032496D"/>
    <w:rsid w:val="00324AF4"/>
    <w:rsid w:val="00325252"/>
    <w:rsid w:val="0032709F"/>
    <w:rsid w:val="00335540"/>
    <w:rsid w:val="003355D7"/>
    <w:rsid w:val="00335C65"/>
    <w:rsid w:val="00336282"/>
    <w:rsid w:val="00337062"/>
    <w:rsid w:val="00337322"/>
    <w:rsid w:val="00337848"/>
    <w:rsid w:val="00337922"/>
    <w:rsid w:val="0034023F"/>
    <w:rsid w:val="00340413"/>
    <w:rsid w:val="00340867"/>
    <w:rsid w:val="00341272"/>
    <w:rsid w:val="00341EE0"/>
    <w:rsid w:val="0034222B"/>
    <w:rsid w:val="00342FDD"/>
    <w:rsid w:val="00344B44"/>
    <w:rsid w:val="003451D4"/>
    <w:rsid w:val="00346ADB"/>
    <w:rsid w:val="00350FA4"/>
    <w:rsid w:val="003512C1"/>
    <w:rsid w:val="003516AC"/>
    <w:rsid w:val="00352777"/>
    <w:rsid w:val="00354BEE"/>
    <w:rsid w:val="00355ED1"/>
    <w:rsid w:val="00360E4C"/>
    <w:rsid w:val="0036126A"/>
    <w:rsid w:val="0036241C"/>
    <w:rsid w:val="003629B0"/>
    <w:rsid w:val="00362E81"/>
    <w:rsid w:val="00362EB4"/>
    <w:rsid w:val="003637E9"/>
    <w:rsid w:val="00363D1A"/>
    <w:rsid w:val="003660EA"/>
    <w:rsid w:val="003664FA"/>
    <w:rsid w:val="00366CF3"/>
    <w:rsid w:val="00367088"/>
    <w:rsid w:val="0036795E"/>
    <w:rsid w:val="00370E8F"/>
    <w:rsid w:val="00372902"/>
    <w:rsid w:val="00373592"/>
    <w:rsid w:val="003745A0"/>
    <w:rsid w:val="00374F85"/>
    <w:rsid w:val="00376139"/>
    <w:rsid w:val="00376EDA"/>
    <w:rsid w:val="003776B1"/>
    <w:rsid w:val="00380837"/>
    <w:rsid w:val="00381E31"/>
    <w:rsid w:val="00383102"/>
    <w:rsid w:val="00383276"/>
    <w:rsid w:val="00383AFC"/>
    <w:rsid w:val="003868FC"/>
    <w:rsid w:val="00387148"/>
    <w:rsid w:val="0039016D"/>
    <w:rsid w:val="0039134B"/>
    <w:rsid w:val="00391DF4"/>
    <w:rsid w:val="00392085"/>
    <w:rsid w:val="003936FD"/>
    <w:rsid w:val="003957EC"/>
    <w:rsid w:val="00395E60"/>
    <w:rsid w:val="003960CD"/>
    <w:rsid w:val="00397298"/>
    <w:rsid w:val="00397933"/>
    <w:rsid w:val="003A05D7"/>
    <w:rsid w:val="003A07D2"/>
    <w:rsid w:val="003A198A"/>
    <w:rsid w:val="003A24BF"/>
    <w:rsid w:val="003A24D0"/>
    <w:rsid w:val="003A45C5"/>
    <w:rsid w:val="003A4871"/>
    <w:rsid w:val="003A4993"/>
    <w:rsid w:val="003A5EAC"/>
    <w:rsid w:val="003A6DF5"/>
    <w:rsid w:val="003A74CB"/>
    <w:rsid w:val="003A7BEC"/>
    <w:rsid w:val="003B111E"/>
    <w:rsid w:val="003B4667"/>
    <w:rsid w:val="003B4982"/>
    <w:rsid w:val="003B525E"/>
    <w:rsid w:val="003C0559"/>
    <w:rsid w:val="003C2228"/>
    <w:rsid w:val="003C36E5"/>
    <w:rsid w:val="003C4B84"/>
    <w:rsid w:val="003C7070"/>
    <w:rsid w:val="003C7619"/>
    <w:rsid w:val="003C76B8"/>
    <w:rsid w:val="003C7A4B"/>
    <w:rsid w:val="003D0C55"/>
    <w:rsid w:val="003D3525"/>
    <w:rsid w:val="003D4304"/>
    <w:rsid w:val="003D54FA"/>
    <w:rsid w:val="003E08A5"/>
    <w:rsid w:val="003E0C26"/>
    <w:rsid w:val="003E1A38"/>
    <w:rsid w:val="003E1B24"/>
    <w:rsid w:val="003E5244"/>
    <w:rsid w:val="003E63C0"/>
    <w:rsid w:val="003E7F61"/>
    <w:rsid w:val="003F0BB3"/>
    <w:rsid w:val="003F0DDB"/>
    <w:rsid w:val="003F13EA"/>
    <w:rsid w:val="003F1B8F"/>
    <w:rsid w:val="003F2304"/>
    <w:rsid w:val="003F2D22"/>
    <w:rsid w:val="003F2DCC"/>
    <w:rsid w:val="003F2E45"/>
    <w:rsid w:val="003F4FAB"/>
    <w:rsid w:val="003F55A0"/>
    <w:rsid w:val="003F627A"/>
    <w:rsid w:val="003F7207"/>
    <w:rsid w:val="003F7283"/>
    <w:rsid w:val="003F77BC"/>
    <w:rsid w:val="00400E92"/>
    <w:rsid w:val="004029AF"/>
    <w:rsid w:val="004043CB"/>
    <w:rsid w:val="0040473C"/>
    <w:rsid w:val="00404A23"/>
    <w:rsid w:val="00404A88"/>
    <w:rsid w:val="00405064"/>
    <w:rsid w:val="00405301"/>
    <w:rsid w:val="00406133"/>
    <w:rsid w:val="00407BFA"/>
    <w:rsid w:val="00407ED9"/>
    <w:rsid w:val="00410914"/>
    <w:rsid w:val="004112B3"/>
    <w:rsid w:val="00411339"/>
    <w:rsid w:val="00414E53"/>
    <w:rsid w:val="00415D6A"/>
    <w:rsid w:val="00415F71"/>
    <w:rsid w:val="004162B1"/>
    <w:rsid w:val="004213F2"/>
    <w:rsid w:val="004237A7"/>
    <w:rsid w:val="00423894"/>
    <w:rsid w:val="004243E4"/>
    <w:rsid w:val="0042557F"/>
    <w:rsid w:val="0042613E"/>
    <w:rsid w:val="004264DC"/>
    <w:rsid w:val="00430923"/>
    <w:rsid w:val="00431A74"/>
    <w:rsid w:val="00431C16"/>
    <w:rsid w:val="00434AAE"/>
    <w:rsid w:val="00435968"/>
    <w:rsid w:val="00435C09"/>
    <w:rsid w:val="00437F95"/>
    <w:rsid w:val="004405E3"/>
    <w:rsid w:val="00440DCD"/>
    <w:rsid w:val="00440E39"/>
    <w:rsid w:val="00442E5D"/>
    <w:rsid w:val="00442EE6"/>
    <w:rsid w:val="004435A3"/>
    <w:rsid w:val="004471B6"/>
    <w:rsid w:val="004479F2"/>
    <w:rsid w:val="004517D3"/>
    <w:rsid w:val="00451C02"/>
    <w:rsid w:val="0045298C"/>
    <w:rsid w:val="004529D9"/>
    <w:rsid w:val="00453D29"/>
    <w:rsid w:val="00454519"/>
    <w:rsid w:val="004579BB"/>
    <w:rsid w:val="00457AEB"/>
    <w:rsid w:val="00457BAF"/>
    <w:rsid w:val="0046098C"/>
    <w:rsid w:val="00460BF2"/>
    <w:rsid w:val="00461776"/>
    <w:rsid w:val="0046286B"/>
    <w:rsid w:val="00463C51"/>
    <w:rsid w:val="00464F6E"/>
    <w:rsid w:val="00465AA8"/>
    <w:rsid w:val="00465B9F"/>
    <w:rsid w:val="00465F4C"/>
    <w:rsid w:val="00466E9E"/>
    <w:rsid w:val="00467777"/>
    <w:rsid w:val="004700B4"/>
    <w:rsid w:val="004703DB"/>
    <w:rsid w:val="0047041E"/>
    <w:rsid w:val="00470C5E"/>
    <w:rsid w:val="00471771"/>
    <w:rsid w:val="00472603"/>
    <w:rsid w:val="0047269A"/>
    <w:rsid w:val="00473637"/>
    <w:rsid w:val="0047396E"/>
    <w:rsid w:val="00473EA0"/>
    <w:rsid w:val="00474190"/>
    <w:rsid w:val="00474AEE"/>
    <w:rsid w:val="00475BBE"/>
    <w:rsid w:val="00476282"/>
    <w:rsid w:val="00476F13"/>
    <w:rsid w:val="00477027"/>
    <w:rsid w:val="004770A6"/>
    <w:rsid w:val="00477838"/>
    <w:rsid w:val="004801A0"/>
    <w:rsid w:val="0048085C"/>
    <w:rsid w:val="0048089D"/>
    <w:rsid w:val="004809E2"/>
    <w:rsid w:val="004815EB"/>
    <w:rsid w:val="00481DE3"/>
    <w:rsid w:val="00481F40"/>
    <w:rsid w:val="0048301C"/>
    <w:rsid w:val="00484205"/>
    <w:rsid w:val="00485396"/>
    <w:rsid w:val="004869FD"/>
    <w:rsid w:val="00486E01"/>
    <w:rsid w:val="004870DD"/>
    <w:rsid w:val="00490331"/>
    <w:rsid w:val="0049043E"/>
    <w:rsid w:val="00490533"/>
    <w:rsid w:val="004914E1"/>
    <w:rsid w:val="00494314"/>
    <w:rsid w:val="004947BE"/>
    <w:rsid w:val="00495865"/>
    <w:rsid w:val="004964F5"/>
    <w:rsid w:val="00496F38"/>
    <w:rsid w:val="00497E4E"/>
    <w:rsid w:val="004A0465"/>
    <w:rsid w:val="004A0F0D"/>
    <w:rsid w:val="004A279E"/>
    <w:rsid w:val="004A50DB"/>
    <w:rsid w:val="004A56C0"/>
    <w:rsid w:val="004A5B9B"/>
    <w:rsid w:val="004A7312"/>
    <w:rsid w:val="004B1C48"/>
    <w:rsid w:val="004B37F6"/>
    <w:rsid w:val="004B45D5"/>
    <w:rsid w:val="004B497D"/>
    <w:rsid w:val="004C0833"/>
    <w:rsid w:val="004C1CE7"/>
    <w:rsid w:val="004C4C1B"/>
    <w:rsid w:val="004C5340"/>
    <w:rsid w:val="004C6812"/>
    <w:rsid w:val="004C779A"/>
    <w:rsid w:val="004D0BF7"/>
    <w:rsid w:val="004D23A6"/>
    <w:rsid w:val="004D2D34"/>
    <w:rsid w:val="004E0353"/>
    <w:rsid w:val="004E0424"/>
    <w:rsid w:val="004E1374"/>
    <w:rsid w:val="004E216E"/>
    <w:rsid w:val="004E36DF"/>
    <w:rsid w:val="004E63BF"/>
    <w:rsid w:val="004E7E3F"/>
    <w:rsid w:val="004F0BF9"/>
    <w:rsid w:val="004F1155"/>
    <w:rsid w:val="004F15A7"/>
    <w:rsid w:val="004F283E"/>
    <w:rsid w:val="004F31F2"/>
    <w:rsid w:val="004F51CD"/>
    <w:rsid w:val="00500C96"/>
    <w:rsid w:val="005010FD"/>
    <w:rsid w:val="005036C3"/>
    <w:rsid w:val="0050379C"/>
    <w:rsid w:val="00503E48"/>
    <w:rsid w:val="0050404C"/>
    <w:rsid w:val="005046B2"/>
    <w:rsid w:val="005074BD"/>
    <w:rsid w:val="00512490"/>
    <w:rsid w:val="005125EB"/>
    <w:rsid w:val="00512602"/>
    <w:rsid w:val="00512F02"/>
    <w:rsid w:val="00514353"/>
    <w:rsid w:val="0051463D"/>
    <w:rsid w:val="00514666"/>
    <w:rsid w:val="00516CA8"/>
    <w:rsid w:val="0051711C"/>
    <w:rsid w:val="00517872"/>
    <w:rsid w:val="00523A31"/>
    <w:rsid w:val="00524367"/>
    <w:rsid w:val="00527EA0"/>
    <w:rsid w:val="00530F23"/>
    <w:rsid w:val="00531F77"/>
    <w:rsid w:val="00532496"/>
    <w:rsid w:val="00533A5A"/>
    <w:rsid w:val="00535ADF"/>
    <w:rsid w:val="00536930"/>
    <w:rsid w:val="00536986"/>
    <w:rsid w:val="00536AD6"/>
    <w:rsid w:val="005377C5"/>
    <w:rsid w:val="0054239E"/>
    <w:rsid w:val="005427AF"/>
    <w:rsid w:val="00543689"/>
    <w:rsid w:val="005466AC"/>
    <w:rsid w:val="00546EE4"/>
    <w:rsid w:val="00547DBF"/>
    <w:rsid w:val="00550A29"/>
    <w:rsid w:val="00550C42"/>
    <w:rsid w:val="00551199"/>
    <w:rsid w:val="00552571"/>
    <w:rsid w:val="005560EC"/>
    <w:rsid w:val="00556185"/>
    <w:rsid w:val="0055722E"/>
    <w:rsid w:val="00557950"/>
    <w:rsid w:val="00560486"/>
    <w:rsid w:val="00560DB6"/>
    <w:rsid w:val="00561069"/>
    <w:rsid w:val="00562A0E"/>
    <w:rsid w:val="00562A51"/>
    <w:rsid w:val="00562A63"/>
    <w:rsid w:val="0056388C"/>
    <w:rsid w:val="00563E40"/>
    <w:rsid w:val="00564E53"/>
    <w:rsid w:val="00565DA1"/>
    <w:rsid w:val="00565ED9"/>
    <w:rsid w:val="00566E67"/>
    <w:rsid w:val="0057056D"/>
    <w:rsid w:val="0057109F"/>
    <w:rsid w:val="00571875"/>
    <w:rsid w:val="00571BEC"/>
    <w:rsid w:val="00572617"/>
    <w:rsid w:val="00572E0E"/>
    <w:rsid w:val="00574A9C"/>
    <w:rsid w:val="00574D12"/>
    <w:rsid w:val="005752A6"/>
    <w:rsid w:val="00575E2B"/>
    <w:rsid w:val="00575FB1"/>
    <w:rsid w:val="00576E1F"/>
    <w:rsid w:val="005809E8"/>
    <w:rsid w:val="00582F06"/>
    <w:rsid w:val="0058374A"/>
    <w:rsid w:val="00587844"/>
    <w:rsid w:val="005918E6"/>
    <w:rsid w:val="0059286E"/>
    <w:rsid w:val="0059393F"/>
    <w:rsid w:val="00595FCA"/>
    <w:rsid w:val="00597EBC"/>
    <w:rsid w:val="005A18A7"/>
    <w:rsid w:val="005A3104"/>
    <w:rsid w:val="005A3C19"/>
    <w:rsid w:val="005A3ED7"/>
    <w:rsid w:val="005A60C4"/>
    <w:rsid w:val="005B0317"/>
    <w:rsid w:val="005B096D"/>
    <w:rsid w:val="005B1AAA"/>
    <w:rsid w:val="005B63A5"/>
    <w:rsid w:val="005B6792"/>
    <w:rsid w:val="005B694A"/>
    <w:rsid w:val="005B7017"/>
    <w:rsid w:val="005C184B"/>
    <w:rsid w:val="005C20AE"/>
    <w:rsid w:val="005C58C1"/>
    <w:rsid w:val="005D0CFE"/>
    <w:rsid w:val="005D2741"/>
    <w:rsid w:val="005D53CC"/>
    <w:rsid w:val="005D54D0"/>
    <w:rsid w:val="005D5659"/>
    <w:rsid w:val="005D6138"/>
    <w:rsid w:val="005D6184"/>
    <w:rsid w:val="005E087D"/>
    <w:rsid w:val="005E1891"/>
    <w:rsid w:val="005E2136"/>
    <w:rsid w:val="005E33C0"/>
    <w:rsid w:val="005E3D32"/>
    <w:rsid w:val="005E51DB"/>
    <w:rsid w:val="005E57D3"/>
    <w:rsid w:val="005E5833"/>
    <w:rsid w:val="005E69A4"/>
    <w:rsid w:val="005F118F"/>
    <w:rsid w:val="005F1B49"/>
    <w:rsid w:val="005F2859"/>
    <w:rsid w:val="005F34E3"/>
    <w:rsid w:val="005F3546"/>
    <w:rsid w:val="005F6320"/>
    <w:rsid w:val="005F6A25"/>
    <w:rsid w:val="005F763D"/>
    <w:rsid w:val="00600C20"/>
    <w:rsid w:val="00600D5D"/>
    <w:rsid w:val="0060101B"/>
    <w:rsid w:val="00602295"/>
    <w:rsid w:val="00604FD9"/>
    <w:rsid w:val="0060561D"/>
    <w:rsid w:val="00606D26"/>
    <w:rsid w:val="00607EC3"/>
    <w:rsid w:val="006118B8"/>
    <w:rsid w:val="0061366C"/>
    <w:rsid w:val="0061422C"/>
    <w:rsid w:val="00614C4D"/>
    <w:rsid w:val="0061659E"/>
    <w:rsid w:val="00616F2E"/>
    <w:rsid w:val="00620115"/>
    <w:rsid w:val="00623806"/>
    <w:rsid w:val="00624761"/>
    <w:rsid w:val="00624B0B"/>
    <w:rsid w:val="00624BAA"/>
    <w:rsid w:val="00626E04"/>
    <w:rsid w:val="0062728E"/>
    <w:rsid w:val="00627E30"/>
    <w:rsid w:val="00630F87"/>
    <w:rsid w:val="006310F1"/>
    <w:rsid w:val="00632844"/>
    <w:rsid w:val="00637C14"/>
    <w:rsid w:val="006403F1"/>
    <w:rsid w:val="00640A35"/>
    <w:rsid w:val="00640B27"/>
    <w:rsid w:val="00640EC3"/>
    <w:rsid w:val="00641521"/>
    <w:rsid w:val="0064183D"/>
    <w:rsid w:val="006427CC"/>
    <w:rsid w:val="00642DF2"/>
    <w:rsid w:val="00642F86"/>
    <w:rsid w:val="00644FE2"/>
    <w:rsid w:val="00645569"/>
    <w:rsid w:val="0064682C"/>
    <w:rsid w:val="00646919"/>
    <w:rsid w:val="00646950"/>
    <w:rsid w:val="00647048"/>
    <w:rsid w:val="006471B3"/>
    <w:rsid w:val="00647760"/>
    <w:rsid w:val="00647F17"/>
    <w:rsid w:val="00650BFB"/>
    <w:rsid w:val="006510E0"/>
    <w:rsid w:val="00651FE9"/>
    <w:rsid w:val="006528B2"/>
    <w:rsid w:val="00656A3C"/>
    <w:rsid w:val="00657BDB"/>
    <w:rsid w:val="00660518"/>
    <w:rsid w:val="00660A1E"/>
    <w:rsid w:val="00660BAE"/>
    <w:rsid w:val="00661DE6"/>
    <w:rsid w:val="0066221A"/>
    <w:rsid w:val="00662E0A"/>
    <w:rsid w:val="0066704C"/>
    <w:rsid w:val="00670CF2"/>
    <w:rsid w:val="00672E2B"/>
    <w:rsid w:val="00672FF3"/>
    <w:rsid w:val="00673850"/>
    <w:rsid w:val="00674273"/>
    <w:rsid w:val="006743FE"/>
    <w:rsid w:val="0067523F"/>
    <w:rsid w:val="00675823"/>
    <w:rsid w:val="00675838"/>
    <w:rsid w:val="00675BE4"/>
    <w:rsid w:val="0067640C"/>
    <w:rsid w:val="006767D9"/>
    <w:rsid w:val="006775C0"/>
    <w:rsid w:val="00680E61"/>
    <w:rsid w:val="006840C9"/>
    <w:rsid w:val="006868D9"/>
    <w:rsid w:val="00687E8D"/>
    <w:rsid w:val="00690677"/>
    <w:rsid w:val="006910F6"/>
    <w:rsid w:val="00692649"/>
    <w:rsid w:val="006934C4"/>
    <w:rsid w:val="00693ACE"/>
    <w:rsid w:val="00694AD9"/>
    <w:rsid w:val="006A02B8"/>
    <w:rsid w:val="006A0D24"/>
    <w:rsid w:val="006A271A"/>
    <w:rsid w:val="006A4A27"/>
    <w:rsid w:val="006A7DB5"/>
    <w:rsid w:val="006B1AE2"/>
    <w:rsid w:val="006B1DA9"/>
    <w:rsid w:val="006B292D"/>
    <w:rsid w:val="006B42B9"/>
    <w:rsid w:val="006B54AE"/>
    <w:rsid w:val="006B6BAD"/>
    <w:rsid w:val="006B6C80"/>
    <w:rsid w:val="006B7DBA"/>
    <w:rsid w:val="006B7EE8"/>
    <w:rsid w:val="006C3F32"/>
    <w:rsid w:val="006C4ABE"/>
    <w:rsid w:val="006C4CF1"/>
    <w:rsid w:val="006C5597"/>
    <w:rsid w:val="006C6664"/>
    <w:rsid w:val="006C6ABF"/>
    <w:rsid w:val="006C789D"/>
    <w:rsid w:val="006D0789"/>
    <w:rsid w:val="006D0A3A"/>
    <w:rsid w:val="006D15CD"/>
    <w:rsid w:val="006D1A9A"/>
    <w:rsid w:val="006D2CFB"/>
    <w:rsid w:val="006D4071"/>
    <w:rsid w:val="006D5234"/>
    <w:rsid w:val="006D5B99"/>
    <w:rsid w:val="006D67DD"/>
    <w:rsid w:val="006D67E6"/>
    <w:rsid w:val="006E06CF"/>
    <w:rsid w:val="006E0E7B"/>
    <w:rsid w:val="006E19D1"/>
    <w:rsid w:val="006E2388"/>
    <w:rsid w:val="006E2841"/>
    <w:rsid w:val="006E2ABF"/>
    <w:rsid w:val="006E2AD9"/>
    <w:rsid w:val="006E2C8E"/>
    <w:rsid w:val="006E37A9"/>
    <w:rsid w:val="006E667D"/>
    <w:rsid w:val="006E678B"/>
    <w:rsid w:val="006E6DEB"/>
    <w:rsid w:val="006F0C2A"/>
    <w:rsid w:val="006F0E5E"/>
    <w:rsid w:val="006F1746"/>
    <w:rsid w:val="006F2491"/>
    <w:rsid w:val="006F3D4B"/>
    <w:rsid w:val="006F3D54"/>
    <w:rsid w:val="006F5295"/>
    <w:rsid w:val="006F5DE1"/>
    <w:rsid w:val="006F61D9"/>
    <w:rsid w:val="006F7456"/>
    <w:rsid w:val="006F78EA"/>
    <w:rsid w:val="006F7EB3"/>
    <w:rsid w:val="00700680"/>
    <w:rsid w:val="007027F3"/>
    <w:rsid w:val="00703F6B"/>
    <w:rsid w:val="00705A2B"/>
    <w:rsid w:val="00705CA8"/>
    <w:rsid w:val="00705EC5"/>
    <w:rsid w:val="00707BFA"/>
    <w:rsid w:val="00712323"/>
    <w:rsid w:val="007136A1"/>
    <w:rsid w:val="00713A2D"/>
    <w:rsid w:val="00714AF2"/>
    <w:rsid w:val="00714D58"/>
    <w:rsid w:val="00715875"/>
    <w:rsid w:val="0071778F"/>
    <w:rsid w:val="0072192C"/>
    <w:rsid w:val="00722B8D"/>
    <w:rsid w:val="00722FEE"/>
    <w:rsid w:val="007233CA"/>
    <w:rsid w:val="00724063"/>
    <w:rsid w:val="00724BCC"/>
    <w:rsid w:val="00724D55"/>
    <w:rsid w:val="007265D9"/>
    <w:rsid w:val="00727525"/>
    <w:rsid w:val="00730A1C"/>
    <w:rsid w:val="00730F34"/>
    <w:rsid w:val="00732403"/>
    <w:rsid w:val="0073303C"/>
    <w:rsid w:val="0073339E"/>
    <w:rsid w:val="00734B19"/>
    <w:rsid w:val="00737F35"/>
    <w:rsid w:val="00740121"/>
    <w:rsid w:val="00740711"/>
    <w:rsid w:val="00742622"/>
    <w:rsid w:val="00743619"/>
    <w:rsid w:val="007438B3"/>
    <w:rsid w:val="0074390F"/>
    <w:rsid w:val="007439DB"/>
    <w:rsid w:val="00747D61"/>
    <w:rsid w:val="00750B50"/>
    <w:rsid w:val="00750B76"/>
    <w:rsid w:val="00750E2F"/>
    <w:rsid w:val="00751C75"/>
    <w:rsid w:val="0075382A"/>
    <w:rsid w:val="007547FF"/>
    <w:rsid w:val="00755645"/>
    <w:rsid w:val="00755F01"/>
    <w:rsid w:val="00757082"/>
    <w:rsid w:val="00757F6E"/>
    <w:rsid w:val="00760226"/>
    <w:rsid w:val="007613F9"/>
    <w:rsid w:val="0076143E"/>
    <w:rsid w:val="00762197"/>
    <w:rsid w:val="00762796"/>
    <w:rsid w:val="007628C8"/>
    <w:rsid w:val="0076330C"/>
    <w:rsid w:val="00764DF4"/>
    <w:rsid w:val="00764F58"/>
    <w:rsid w:val="0076796D"/>
    <w:rsid w:val="00767BA9"/>
    <w:rsid w:val="0077003F"/>
    <w:rsid w:val="007704A4"/>
    <w:rsid w:val="00771119"/>
    <w:rsid w:val="007711CA"/>
    <w:rsid w:val="0077225D"/>
    <w:rsid w:val="00772534"/>
    <w:rsid w:val="0077397A"/>
    <w:rsid w:val="00774214"/>
    <w:rsid w:val="00774A42"/>
    <w:rsid w:val="007757F3"/>
    <w:rsid w:val="007762B9"/>
    <w:rsid w:val="00776FB3"/>
    <w:rsid w:val="007771BE"/>
    <w:rsid w:val="007814CA"/>
    <w:rsid w:val="007823A2"/>
    <w:rsid w:val="00782575"/>
    <w:rsid w:val="00782B8B"/>
    <w:rsid w:val="00783836"/>
    <w:rsid w:val="00783D21"/>
    <w:rsid w:val="0078418D"/>
    <w:rsid w:val="007841DD"/>
    <w:rsid w:val="007869E8"/>
    <w:rsid w:val="00786C04"/>
    <w:rsid w:val="00787047"/>
    <w:rsid w:val="007902EB"/>
    <w:rsid w:val="00792151"/>
    <w:rsid w:val="00793A94"/>
    <w:rsid w:val="00794608"/>
    <w:rsid w:val="00794979"/>
    <w:rsid w:val="00794B71"/>
    <w:rsid w:val="007955B6"/>
    <w:rsid w:val="007956BC"/>
    <w:rsid w:val="0079635F"/>
    <w:rsid w:val="007971CA"/>
    <w:rsid w:val="007A0DF2"/>
    <w:rsid w:val="007A0FE4"/>
    <w:rsid w:val="007A147E"/>
    <w:rsid w:val="007A29E7"/>
    <w:rsid w:val="007A331A"/>
    <w:rsid w:val="007A47AB"/>
    <w:rsid w:val="007A4F08"/>
    <w:rsid w:val="007A630D"/>
    <w:rsid w:val="007B337C"/>
    <w:rsid w:val="007B4488"/>
    <w:rsid w:val="007B47F9"/>
    <w:rsid w:val="007B5301"/>
    <w:rsid w:val="007B5A01"/>
    <w:rsid w:val="007B6E77"/>
    <w:rsid w:val="007B757C"/>
    <w:rsid w:val="007B7F25"/>
    <w:rsid w:val="007C0B5D"/>
    <w:rsid w:val="007C1AE2"/>
    <w:rsid w:val="007C38AF"/>
    <w:rsid w:val="007C5E3B"/>
    <w:rsid w:val="007C7721"/>
    <w:rsid w:val="007D2280"/>
    <w:rsid w:val="007D39A9"/>
    <w:rsid w:val="007D7A81"/>
    <w:rsid w:val="007E30A2"/>
    <w:rsid w:val="007E3C3B"/>
    <w:rsid w:val="007E5184"/>
    <w:rsid w:val="007E55A8"/>
    <w:rsid w:val="007E580B"/>
    <w:rsid w:val="007E5857"/>
    <w:rsid w:val="007E6AEB"/>
    <w:rsid w:val="007F0B51"/>
    <w:rsid w:val="007F1D61"/>
    <w:rsid w:val="007F31C5"/>
    <w:rsid w:val="007F52D1"/>
    <w:rsid w:val="00800823"/>
    <w:rsid w:val="00800A50"/>
    <w:rsid w:val="0080204C"/>
    <w:rsid w:val="00802867"/>
    <w:rsid w:val="0080317D"/>
    <w:rsid w:val="00804322"/>
    <w:rsid w:val="00806231"/>
    <w:rsid w:val="00806EF0"/>
    <w:rsid w:val="00807240"/>
    <w:rsid w:val="0080746F"/>
    <w:rsid w:val="008074A9"/>
    <w:rsid w:val="00812136"/>
    <w:rsid w:val="008135D6"/>
    <w:rsid w:val="00814447"/>
    <w:rsid w:val="0081451B"/>
    <w:rsid w:val="00814EF7"/>
    <w:rsid w:val="00816D09"/>
    <w:rsid w:val="00817EBE"/>
    <w:rsid w:val="00820E7A"/>
    <w:rsid w:val="008212B1"/>
    <w:rsid w:val="0082373C"/>
    <w:rsid w:val="00826C14"/>
    <w:rsid w:val="0082774E"/>
    <w:rsid w:val="008316C3"/>
    <w:rsid w:val="0083260C"/>
    <w:rsid w:val="00835C12"/>
    <w:rsid w:val="008367A4"/>
    <w:rsid w:val="00836CC3"/>
    <w:rsid w:val="0083749C"/>
    <w:rsid w:val="00837870"/>
    <w:rsid w:val="008415B5"/>
    <w:rsid w:val="00841D49"/>
    <w:rsid w:val="00842F4A"/>
    <w:rsid w:val="00843B03"/>
    <w:rsid w:val="00844A06"/>
    <w:rsid w:val="00846D36"/>
    <w:rsid w:val="008478D1"/>
    <w:rsid w:val="00847EDB"/>
    <w:rsid w:val="0085006B"/>
    <w:rsid w:val="00850DB5"/>
    <w:rsid w:val="00852C23"/>
    <w:rsid w:val="00853342"/>
    <w:rsid w:val="0085436D"/>
    <w:rsid w:val="0085635E"/>
    <w:rsid w:val="00856810"/>
    <w:rsid w:val="00857995"/>
    <w:rsid w:val="00857A18"/>
    <w:rsid w:val="00860B4B"/>
    <w:rsid w:val="00861811"/>
    <w:rsid w:val="00861AFC"/>
    <w:rsid w:val="00864284"/>
    <w:rsid w:val="00866BFF"/>
    <w:rsid w:val="008675E4"/>
    <w:rsid w:val="00867CF2"/>
    <w:rsid w:val="008708F6"/>
    <w:rsid w:val="00872952"/>
    <w:rsid w:val="00873555"/>
    <w:rsid w:val="0087523E"/>
    <w:rsid w:val="00877AEF"/>
    <w:rsid w:val="008800B6"/>
    <w:rsid w:val="008813F1"/>
    <w:rsid w:val="00881DA9"/>
    <w:rsid w:val="008825E3"/>
    <w:rsid w:val="0088457E"/>
    <w:rsid w:val="00886278"/>
    <w:rsid w:val="0089181D"/>
    <w:rsid w:val="00891D78"/>
    <w:rsid w:val="00893E33"/>
    <w:rsid w:val="008973EE"/>
    <w:rsid w:val="008A08C4"/>
    <w:rsid w:val="008A1DC6"/>
    <w:rsid w:val="008A2DF9"/>
    <w:rsid w:val="008A3324"/>
    <w:rsid w:val="008A351F"/>
    <w:rsid w:val="008A4E0D"/>
    <w:rsid w:val="008A556D"/>
    <w:rsid w:val="008A67B8"/>
    <w:rsid w:val="008B059F"/>
    <w:rsid w:val="008B0F12"/>
    <w:rsid w:val="008B10B2"/>
    <w:rsid w:val="008B4674"/>
    <w:rsid w:val="008B4CB8"/>
    <w:rsid w:val="008B52E8"/>
    <w:rsid w:val="008B5C2A"/>
    <w:rsid w:val="008B6322"/>
    <w:rsid w:val="008B6590"/>
    <w:rsid w:val="008B6806"/>
    <w:rsid w:val="008B6C8F"/>
    <w:rsid w:val="008C0629"/>
    <w:rsid w:val="008C0C23"/>
    <w:rsid w:val="008C15F5"/>
    <w:rsid w:val="008C1B99"/>
    <w:rsid w:val="008C33E9"/>
    <w:rsid w:val="008C44D9"/>
    <w:rsid w:val="008C6F3B"/>
    <w:rsid w:val="008C70B9"/>
    <w:rsid w:val="008C790E"/>
    <w:rsid w:val="008D060A"/>
    <w:rsid w:val="008D1204"/>
    <w:rsid w:val="008D14C0"/>
    <w:rsid w:val="008D4EA9"/>
    <w:rsid w:val="008D555B"/>
    <w:rsid w:val="008D704D"/>
    <w:rsid w:val="008D74EB"/>
    <w:rsid w:val="008E0688"/>
    <w:rsid w:val="008E56C1"/>
    <w:rsid w:val="008E6206"/>
    <w:rsid w:val="008E7155"/>
    <w:rsid w:val="008F045B"/>
    <w:rsid w:val="008F075F"/>
    <w:rsid w:val="008F20C1"/>
    <w:rsid w:val="008F3B66"/>
    <w:rsid w:val="008F440F"/>
    <w:rsid w:val="008F45AD"/>
    <w:rsid w:val="008F4D69"/>
    <w:rsid w:val="008F534F"/>
    <w:rsid w:val="008F5DD9"/>
    <w:rsid w:val="008F6D5A"/>
    <w:rsid w:val="00900BDA"/>
    <w:rsid w:val="00901FD0"/>
    <w:rsid w:val="009030F0"/>
    <w:rsid w:val="00903E72"/>
    <w:rsid w:val="009054EE"/>
    <w:rsid w:val="00905E59"/>
    <w:rsid w:val="00906389"/>
    <w:rsid w:val="00910534"/>
    <w:rsid w:val="00910DA0"/>
    <w:rsid w:val="00912F9C"/>
    <w:rsid w:val="0091425C"/>
    <w:rsid w:val="00914A41"/>
    <w:rsid w:val="00915139"/>
    <w:rsid w:val="00915EC6"/>
    <w:rsid w:val="00916C2F"/>
    <w:rsid w:val="00920385"/>
    <w:rsid w:val="009203F8"/>
    <w:rsid w:val="00920F82"/>
    <w:rsid w:val="00921890"/>
    <w:rsid w:val="009219CE"/>
    <w:rsid w:val="00922115"/>
    <w:rsid w:val="00922AA8"/>
    <w:rsid w:val="00923985"/>
    <w:rsid w:val="009239B8"/>
    <w:rsid w:val="00923D4A"/>
    <w:rsid w:val="00923F7D"/>
    <w:rsid w:val="0092588E"/>
    <w:rsid w:val="00926119"/>
    <w:rsid w:val="009270BE"/>
    <w:rsid w:val="009276D1"/>
    <w:rsid w:val="00927A4B"/>
    <w:rsid w:val="00927E16"/>
    <w:rsid w:val="009301FB"/>
    <w:rsid w:val="009312DD"/>
    <w:rsid w:val="009321D3"/>
    <w:rsid w:val="00932224"/>
    <w:rsid w:val="009336C9"/>
    <w:rsid w:val="00934951"/>
    <w:rsid w:val="00936AF4"/>
    <w:rsid w:val="009372E6"/>
    <w:rsid w:val="0094042A"/>
    <w:rsid w:val="0094079F"/>
    <w:rsid w:val="009408D7"/>
    <w:rsid w:val="009421F1"/>
    <w:rsid w:val="009426E3"/>
    <w:rsid w:val="00942875"/>
    <w:rsid w:val="00944447"/>
    <w:rsid w:val="00945ADF"/>
    <w:rsid w:val="00946E2D"/>
    <w:rsid w:val="00950251"/>
    <w:rsid w:val="009510EA"/>
    <w:rsid w:val="009545CD"/>
    <w:rsid w:val="009555C5"/>
    <w:rsid w:val="00955EF2"/>
    <w:rsid w:val="009579F8"/>
    <w:rsid w:val="00957A9A"/>
    <w:rsid w:val="00960054"/>
    <w:rsid w:val="00960D4B"/>
    <w:rsid w:val="00960DB6"/>
    <w:rsid w:val="0096316A"/>
    <w:rsid w:val="0096354F"/>
    <w:rsid w:val="0096416E"/>
    <w:rsid w:val="00965045"/>
    <w:rsid w:val="0096519A"/>
    <w:rsid w:val="0096706E"/>
    <w:rsid w:val="00967186"/>
    <w:rsid w:val="00971600"/>
    <w:rsid w:val="00972CEB"/>
    <w:rsid w:val="0097396E"/>
    <w:rsid w:val="009741C5"/>
    <w:rsid w:val="00975B49"/>
    <w:rsid w:val="00975B8E"/>
    <w:rsid w:val="00976FAC"/>
    <w:rsid w:val="009775CB"/>
    <w:rsid w:val="00977928"/>
    <w:rsid w:val="00982D50"/>
    <w:rsid w:val="0098300C"/>
    <w:rsid w:val="00984A26"/>
    <w:rsid w:val="0098523C"/>
    <w:rsid w:val="0098585B"/>
    <w:rsid w:val="00985916"/>
    <w:rsid w:val="00986FB4"/>
    <w:rsid w:val="009876CB"/>
    <w:rsid w:val="009904DA"/>
    <w:rsid w:val="00991B95"/>
    <w:rsid w:val="00992434"/>
    <w:rsid w:val="00992B54"/>
    <w:rsid w:val="00992CC5"/>
    <w:rsid w:val="00993047"/>
    <w:rsid w:val="009941A3"/>
    <w:rsid w:val="00994823"/>
    <w:rsid w:val="00995B6D"/>
    <w:rsid w:val="009973B4"/>
    <w:rsid w:val="00997F6E"/>
    <w:rsid w:val="009A03D2"/>
    <w:rsid w:val="009A2208"/>
    <w:rsid w:val="009A3573"/>
    <w:rsid w:val="009A42E5"/>
    <w:rsid w:val="009A44CE"/>
    <w:rsid w:val="009A4943"/>
    <w:rsid w:val="009B0ED1"/>
    <w:rsid w:val="009B3422"/>
    <w:rsid w:val="009B36E9"/>
    <w:rsid w:val="009B3C5A"/>
    <w:rsid w:val="009B49CC"/>
    <w:rsid w:val="009C28C1"/>
    <w:rsid w:val="009C3147"/>
    <w:rsid w:val="009C32F3"/>
    <w:rsid w:val="009D0CD0"/>
    <w:rsid w:val="009D0EBD"/>
    <w:rsid w:val="009D2C36"/>
    <w:rsid w:val="009D2C81"/>
    <w:rsid w:val="009D5D93"/>
    <w:rsid w:val="009D7284"/>
    <w:rsid w:val="009E092B"/>
    <w:rsid w:val="009E10ED"/>
    <w:rsid w:val="009E21C1"/>
    <w:rsid w:val="009E40C4"/>
    <w:rsid w:val="009E428E"/>
    <w:rsid w:val="009E4D01"/>
    <w:rsid w:val="009E4DE3"/>
    <w:rsid w:val="009E51AF"/>
    <w:rsid w:val="009E5317"/>
    <w:rsid w:val="009E5BDB"/>
    <w:rsid w:val="009E5DF1"/>
    <w:rsid w:val="009E6982"/>
    <w:rsid w:val="009F1519"/>
    <w:rsid w:val="009F1AF9"/>
    <w:rsid w:val="009F1CA7"/>
    <w:rsid w:val="009F1D2D"/>
    <w:rsid w:val="009F2F52"/>
    <w:rsid w:val="009F3255"/>
    <w:rsid w:val="009F3E37"/>
    <w:rsid w:val="009F6343"/>
    <w:rsid w:val="009F68CA"/>
    <w:rsid w:val="009F6DD5"/>
    <w:rsid w:val="009F73B8"/>
    <w:rsid w:val="009F73EE"/>
    <w:rsid w:val="009F771B"/>
    <w:rsid w:val="009F7ABA"/>
    <w:rsid w:val="009F7D2D"/>
    <w:rsid w:val="009F7EED"/>
    <w:rsid w:val="00A027B8"/>
    <w:rsid w:val="00A02C51"/>
    <w:rsid w:val="00A03CAE"/>
    <w:rsid w:val="00A040B8"/>
    <w:rsid w:val="00A04218"/>
    <w:rsid w:val="00A048A2"/>
    <w:rsid w:val="00A05F14"/>
    <w:rsid w:val="00A0688C"/>
    <w:rsid w:val="00A106A4"/>
    <w:rsid w:val="00A12A44"/>
    <w:rsid w:val="00A14097"/>
    <w:rsid w:val="00A14291"/>
    <w:rsid w:val="00A142B6"/>
    <w:rsid w:val="00A150FA"/>
    <w:rsid w:val="00A1689B"/>
    <w:rsid w:val="00A21124"/>
    <w:rsid w:val="00A21BF0"/>
    <w:rsid w:val="00A2262E"/>
    <w:rsid w:val="00A239DA"/>
    <w:rsid w:val="00A24BF3"/>
    <w:rsid w:val="00A25C84"/>
    <w:rsid w:val="00A25CFE"/>
    <w:rsid w:val="00A27022"/>
    <w:rsid w:val="00A30DF6"/>
    <w:rsid w:val="00A30E03"/>
    <w:rsid w:val="00A31A74"/>
    <w:rsid w:val="00A31C7D"/>
    <w:rsid w:val="00A32032"/>
    <w:rsid w:val="00A33D6F"/>
    <w:rsid w:val="00A37784"/>
    <w:rsid w:val="00A405AC"/>
    <w:rsid w:val="00A41C8A"/>
    <w:rsid w:val="00A424CE"/>
    <w:rsid w:val="00A4289A"/>
    <w:rsid w:val="00A43028"/>
    <w:rsid w:val="00A4403E"/>
    <w:rsid w:val="00A447C6"/>
    <w:rsid w:val="00A45D9E"/>
    <w:rsid w:val="00A46599"/>
    <w:rsid w:val="00A47D32"/>
    <w:rsid w:val="00A50FA2"/>
    <w:rsid w:val="00A512A3"/>
    <w:rsid w:val="00A52235"/>
    <w:rsid w:val="00A55CE8"/>
    <w:rsid w:val="00A56BD0"/>
    <w:rsid w:val="00A57DD4"/>
    <w:rsid w:val="00A60A30"/>
    <w:rsid w:val="00A61B93"/>
    <w:rsid w:val="00A61C46"/>
    <w:rsid w:val="00A61DA6"/>
    <w:rsid w:val="00A6210C"/>
    <w:rsid w:val="00A627A9"/>
    <w:rsid w:val="00A6480C"/>
    <w:rsid w:val="00A65EF3"/>
    <w:rsid w:val="00A67067"/>
    <w:rsid w:val="00A678F4"/>
    <w:rsid w:val="00A67E66"/>
    <w:rsid w:val="00A70B17"/>
    <w:rsid w:val="00A70F32"/>
    <w:rsid w:val="00A729AE"/>
    <w:rsid w:val="00A73E74"/>
    <w:rsid w:val="00A75E28"/>
    <w:rsid w:val="00A767DC"/>
    <w:rsid w:val="00A7783C"/>
    <w:rsid w:val="00A80636"/>
    <w:rsid w:val="00A81097"/>
    <w:rsid w:val="00A814DA"/>
    <w:rsid w:val="00A81560"/>
    <w:rsid w:val="00A818CA"/>
    <w:rsid w:val="00A8222B"/>
    <w:rsid w:val="00A83CB4"/>
    <w:rsid w:val="00A851F8"/>
    <w:rsid w:val="00A8548B"/>
    <w:rsid w:val="00A871E4"/>
    <w:rsid w:val="00A876C5"/>
    <w:rsid w:val="00A93E70"/>
    <w:rsid w:val="00A94128"/>
    <w:rsid w:val="00A94F96"/>
    <w:rsid w:val="00A9543B"/>
    <w:rsid w:val="00A95927"/>
    <w:rsid w:val="00A959BB"/>
    <w:rsid w:val="00A96322"/>
    <w:rsid w:val="00A970A8"/>
    <w:rsid w:val="00AA0CA8"/>
    <w:rsid w:val="00AA2DE6"/>
    <w:rsid w:val="00AA3D4C"/>
    <w:rsid w:val="00AA4898"/>
    <w:rsid w:val="00AA536D"/>
    <w:rsid w:val="00AB1398"/>
    <w:rsid w:val="00AB1C3E"/>
    <w:rsid w:val="00AB3E03"/>
    <w:rsid w:val="00AB51E2"/>
    <w:rsid w:val="00AB7580"/>
    <w:rsid w:val="00AB7D8C"/>
    <w:rsid w:val="00AC07C8"/>
    <w:rsid w:val="00AC0CD8"/>
    <w:rsid w:val="00AC13F5"/>
    <w:rsid w:val="00AC1781"/>
    <w:rsid w:val="00AC18B5"/>
    <w:rsid w:val="00AC65B2"/>
    <w:rsid w:val="00AC66A2"/>
    <w:rsid w:val="00AC685D"/>
    <w:rsid w:val="00AC73BC"/>
    <w:rsid w:val="00AD1C50"/>
    <w:rsid w:val="00AD2E68"/>
    <w:rsid w:val="00AD2EB4"/>
    <w:rsid w:val="00AD424E"/>
    <w:rsid w:val="00AD5165"/>
    <w:rsid w:val="00AD553B"/>
    <w:rsid w:val="00AD5551"/>
    <w:rsid w:val="00AD581B"/>
    <w:rsid w:val="00AD7C01"/>
    <w:rsid w:val="00AE08BA"/>
    <w:rsid w:val="00AE11D9"/>
    <w:rsid w:val="00AE1235"/>
    <w:rsid w:val="00AE22D2"/>
    <w:rsid w:val="00AE2DA3"/>
    <w:rsid w:val="00AE399F"/>
    <w:rsid w:val="00AE3CAF"/>
    <w:rsid w:val="00AE490A"/>
    <w:rsid w:val="00AE6745"/>
    <w:rsid w:val="00AE7FA9"/>
    <w:rsid w:val="00AF0AAB"/>
    <w:rsid w:val="00AF1ED8"/>
    <w:rsid w:val="00AF1F78"/>
    <w:rsid w:val="00AF5B3D"/>
    <w:rsid w:val="00AF6B00"/>
    <w:rsid w:val="00AF6EA5"/>
    <w:rsid w:val="00AF7FC9"/>
    <w:rsid w:val="00B01B85"/>
    <w:rsid w:val="00B02ACE"/>
    <w:rsid w:val="00B039D1"/>
    <w:rsid w:val="00B062DE"/>
    <w:rsid w:val="00B06544"/>
    <w:rsid w:val="00B06769"/>
    <w:rsid w:val="00B07ABF"/>
    <w:rsid w:val="00B07ECD"/>
    <w:rsid w:val="00B10538"/>
    <w:rsid w:val="00B11658"/>
    <w:rsid w:val="00B11A82"/>
    <w:rsid w:val="00B1344B"/>
    <w:rsid w:val="00B134A2"/>
    <w:rsid w:val="00B13582"/>
    <w:rsid w:val="00B1579F"/>
    <w:rsid w:val="00B1594D"/>
    <w:rsid w:val="00B15DF0"/>
    <w:rsid w:val="00B164E9"/>
    <w:rsid w:val="00B16FE9"/>
    <w:rsid w:val="00B17905"/>
    <w:rsid w:val="00B20444"/>
    <w:rsid w:val="00B21132"/>
    <w:rsid w:val="00B21D24"/>
    <w:rsid w:val="00B21F1B"/>
    <w:rsid w:val="00B22578"/>
    <w:rsid w:val="00B22599"/>
    <w:rsid w:val="00B23584"/>
    <w:rsid w:val="00B24B4D"/>
    <w:rsid w:val="00B25D5E"/>
    <w:rsid w:val="00B26C43"/>
    <w:rsid w:val="00B26FF0"/>
    <w:rsid w:val="00B306CF"/>
    <w:rsid w:val="00B3311A"/>
    <w:rsid w:val="00B33278"/>
    <w:rsid w:val="00B340E5"/>
    <w:rsid w:val="00B3478E"/>
    <w:rsid w:val="00B3547A"/>
    <w:rsid w:val="00B3643B"/>
    <w:rsid w:val="00B36C72"/>
    <w:rsid w:val="00B37789"/>
    <w:rsid w:val="00B37AA9"/>
    <w:rsid w:val="00B41ADA"/>
    <w:rsid w:val="00B4320A"/>
    <w:rsid w:val="00B44A5B"/>
    <w:rsid w:val="00B44B15"/>
    <w:rsid w:val="00B44E2B"/>
    <w:rsid w:val="00B458C1"/>
    <w:rsid w:val="00B46AF9"/>
    <w:rsid w:val="00B46BF6"/>
    <w:rsid w:val="00B471B9"/>
    <w:rsid w:val="00B47C4B"/>
    <w:rsid w:val="00B47E78"/>
    <w:rsid w:val="00B504A8"/>
    <w:rsid w:val="00B50606"/>
    <w:rsid w:val="00B51687"/>
    <w:rsid w:val="00B52670"/>
    <w:rsid w:val="00B53AA2"/>
    <w:rsid w:val="00B53B9B"/>
    <w:rsid w:val="00B55DDD"/>
    <w:rsid w:val="00B57840"/>
    <w:rsid w:val="00B60908"/>
    <w:rsid w:val="00B60EF0"/>
    <w:rsid w:val="00B626F2"/>
    <w:rsid w:val="00B62A9F"/>
    <w:rsid w:val="00B63B5A"/>
    <w:rsid w:val="00B644F0"/>
    <w:rsid w:val="00B64629"/>
    <w:rsid w:val="00B66769"/>
    <w:rsid w:val="00B6683F"/>
    <w:rsid w:val="00B70320"/>
    <w:rsid w:val="00B705BC"/>
    <w:rsid w:val="00B718AA"/>
    <w:rsid w:val="00B71C58"/>
    <w:rsid w:val="00B73062"/>
    <w:rsid w:val="00B73540"/>
    <w:rsid w:val="00B7485B"/>
    <w:rsid w:val="00B750E4"/>
    <w:rsid w:val="00B76A20"/>
    <w:rsid w:val="00B770CB"/>
    <w:rsid w:val="00B77922"/>
    <w:rsid w:val="00B802B1"/>
    <w:rsid w:val="00B815CC"/>
    <w:rsid w:val="00B821B3"/>
    <w:rsid w:val="00B82832"/>
    <w:rsid w:val="00B829CD"/>
    <w:rsid w:val="00B82CFF"/>
    <w:rsid w:val="00B84C36"/>
    <w:rsid w:val="00B86650"/>
    <w:rsid w:val="00B870F1"/>
    <w:rsid w:val="00B9052C"/>
    <w:rsid w:val="00B91B69"/>
    <w:rsid w:val="00B9344E"/>
    <w:rsid w:val="00B934E9"/>
    <w:rsid w:val="00B97060"/>
    <w:rsid w:val="00B9712E"/>
    <w:rsid w:val="00B97667"/>
    <w:rsid w:val="00BA136E"/>
    <w:rsid w:val="00BA1ED1"/>
    <w:rsid w:val="00BA297D"/>
    <w:rsid w:val="00BA2CE0"/>
    <w:rsid w:val="00BA4BB2"/>
    <w:rsid w:val="00BA51D1"/>
    <w:rsid w:val="00BA7E20"/>
    <w:rsid w:val="00BB18EE"/>
    <w:rsid w:val="00BB193A"/>
    <w:rsid w:val="00BB2B88"/>
    <w:rsid w:val="00BB3C48"/>
    <w:rsid w:val="00BB54B1"/>
    <w:rsid w:val="00BB5628"/>
    <w:rsid w:val="00BB5AE7"/>
    <w:rsid w:val="00BB5EE3"/>
    <w:rsid w:val="00BB60AE"/>
    <w:rsid w:val="00BC00E8"/>
    <w:rsid w:val="00BC0253"/>
    <w:rsid w:val="00BC1A29"/>
    <w:rsid w:val="00BC3F41"/>
    <w:rsid w:val="00BC4DE3"/>
    <w:rsid w:val="00BC63E6"/>
    <w:rsid w:val="00BC6FF9"/>
    <w:rsid w:val="00BD12EC"/>
    <w:rsid w:val="00BD1A81"/>
    <w:rsid w:val="00BD1B6C"/>
    <w:rsid w:val="00BD20C8"/>
    <w:rsid w:val="00BD2A30"/>
    <w:rsid w:val="00BD5A7B"/>
    <w:rsid w:val="00BD5FFE"/>
    <w:rsid w:val="00BD62A2"/>
    <w:rsid w:val="00BD7B1E"/>
    <w:rsid w:val="00BE01CA"/>
    <w:rsid w:val="00BE1F41"/>
    <w:rsid w:val="00BE2606"/>
    <w:rsid w:val="00BE2759"/>
    <w:rsid w:val="00BE3CC7"/>
    <w:rsid w:val="00BE5D6E"/>
    <w:rsid w:val="00BE5E52"/>
    <w:rsid w:val="00BE63F9"/>
    <w:rsid w:val="00BF047C"/>
    <w:rsid w:val="00BF202C"/>
    <w:rsid w:val="00BF2519"/>
    <w:rsid w:val="00BF55C1"/>
    <w:rsid w:val="00BF597E"/>
    <w:rsid w:val="00BF681B"/>
    <w:rsid w:val="00BF70A8"/>
    <w:rsid w:val="00BF76CD"/>
    <w:rsid w:val="00BF7B73"/>
    <w:rsid w:val="00C01128"/>
    <w:rsid w:val="00C01808"/>
    <w:rsid w:val="00C01B85"/>
    <w:rsid w:val="00C02ABB"/>
    <w:rsid w:val="00C04FFF"/>
    <w:rsid w:val="00C0590C"/>
    <w:rsid w:val="00C069FA"/>
    <w:rsid w:val="00C06BD1"/>
    <w:rsid w:val="00C12735"/>
    <w:rsid w:val="00C13843"/>
    <w:rsid w:val="00C14921"/>
    <w:rsid w:val="00C14951"/>
    <w:rsid w:val="00C165D4"/>
    <w:rsid w:val="00C1705A"/>
    <w:rsid w:val="00C17448"/>
    <w:rsid w:val="00C21D4B"/>
    <w:rsid w:val="00C21FAA"/>
    <w:rsid w:val="00C22893"/>
    <w:rsid w:val="00C22ADD"/>
    <w:rsid w:val="00C24064"/>
    <w:rsid w:val="00C240D1"/>
    <w:rsid w:val="00C247DF"/>
    <w:rsid w:val="00C24B20"/>
    <w:rsid w:val="00C30B60"/>
    <w:rsid w:val="00C30DF0"/>
    <w:rsid w:val="00C3123E"/>
    <w:rsid w:val="00C31F46"/>
    <w:rsid w:val="00C32402"/>
    <w:rsid w:val="00C33859"/>
    <w:rsid w:val="00C34AF5"/>
    <w:rsid w:val="00C36181"/>
    <w:rsid w:val="00C36F2D"/>
    <w:rsid w:val="00C3776D"/>
    <w:rsid w:val="00C37E2C"/>
    <w:rsid w:val="00C40E6C"/>
    <w:rsid w:val="00C4287F"/>
    <w:rsid w:val="00C43263"/>
    <w:rsid w:val="00C434E0"/>
    <w:rsid w:val="00C43E27"/>
    <w:rsid w:val="00C46201"/>
    <w:rsid w:val="00C468FF"/>
    <w:rsid w:val="00C46B3D"/>
    <w:rsid w:val="00C5049C"/>
    <w:rsid w:val="00C511C9"/>
    <w:rsid w:val="00C51A36"/>
    <w:rsid w:val="00C51F68"/>
    <w:rsid w:val="00C531E1"/>
    <w:rsid w:val="00C53750"/>
    <w:rsid w:val="00C55228"/>
    <w:rsid w:val="00C55B81"/>
    <w:rsid w:val="00C55D0B"/>
    <w:rsid w:val="00C57431"/>
    <w:rsid w:val="00C608B4"/>
    <w:rsid w:val="00C66B00"/>
    <w:rsid w:val="00C6707D"/>
    <w:rsid w:val="00C701CA"/>
    <w:rsid w:val="00C7045F"/>
    <w:rsid w:val="00C711BC"/>
    <w:rsid w:val="00C7134F"/>
    <w:rsid w:val="00C71E3A"/>
    <w:rsid w:val="00C72871"/>
    <w:rsid w:val="00C72A74"/>
    <w:rsid w:val="00C733EC"/>
    <w:rsid w:val="00C73798"/>
    <w:rsid w:val="00C73815"/>
    <w:rsid w:val="00C742BA"/>
    <w:rsid w:val="00C74890"/>
    <w:rsid w:val="00C74D03"/>
    <w:rsid w:val="00C7741C"/>
    <w:rsid w:val="00C77C09"/>
    <w:rsid w:val="00C81C6D"/>
    <w:rsid w:val="00C82B47"/>
    <w:rsid w:val="00C82D59"/>
    <w:rsid w:val="00C82E57"/>
    <w:rsid w:val="00C8346C"/>
    <w:rsid w:val="00C85726"/>
    <w:rsid w:val="00C85C5F"/>
    <w:rsid w:val="00C86655"/>
    <w:rsid w:val="00C86A77"/>
    <w:rsid w:val="00C87C5C"/>
    <w:rsid w:val="00C90B9F"/>
    <w:rsid w:val="00C91440"/>
    <w:rsid w:val="00C915B8"/>
    <w:rsid w:val="00C92103"/>
    <w:rsid w:val="00C925A3"/>
    <w:rsid w:val="00C9295A"/>
    <w:rsid w:val="00C933CF"/>
    <w:rsid w:val="00C94A6A"/>
    <w:rsid w:val="00C96B01"/>
    <w:rsid w:val="00C96D69"/>
    <w:rsid w:val="00C972F4"/>
    <w:rsid w:val="00C9773E"/>
    <w:rsid w:val="00C97F14"/>
    <w:rsid w:val="00CA2A2E"/>
    <w:rsid w:val="00CA3D6C"/>
    <w:rsid w:val="00CA4870"/>
    <w:rsid w:val="00CA50CB"/>
    <w:rsid w:val="00CA5EE0"/>
    <w:rsid w:val="00CA74A6"/>
    <w:rsid w:val="00CB034D"/>
    <w:rsid w:val="00CB07DD"/>
    <w:rsid w:val="00CB1244"/>
    <w:rsid w:val="00CB21D6"/>
    <w:rsid w:val="00CB2B81"/>
    <w:rsid w:val="00CB2FBD"/>
    <w:rsid w:val="00CB3D50"/>
    <w:rsid w:val="00CB6BF2"/>
    <w:rsid w:val="00CB753A"/>
    <w:rsid w:val="00CB7F43"/>
    <w:rsid w:val="00CC093B"/>
    <w:rsid w:val="00CC0D6A"/>
    <w:rsid w:val="00CC2AF6"/>
    <w:rsid w:val="00CC2E1D"/>
    <w:rsid w:val="00CD2260"/>
    <w:rsid w:val="00CD3F50"/>
    <w:rsid w:val="00CD54B2"/>
    <w:rsid w:val="00CD61FC"/>
    <w:rsid w:val="00CE0830"/>
    <w:rsid w:val="00CE0DEE"/>
    <w:rsid w:val="00CE1941"/>
    <w:rsid w:val="00CE21D9"/>
    <w:rsid w:val="00CE2415"/>
    <w:rsid w:val="00CE285F"/>
    <w:rsid w:val="00CE287C"/>
    <w:rsid w:val="00CE2C84"/>
    <w:rsid w:val="00CE2E92"/>
    <w:rsid w:val="00CE315A"/>
    <w:rsid w:val="00CE3514"/>
    <w:rsid w:val="00CF2E95"/>
    <w:rsid w:val="00CF4DB3"/>
    <w:rsid w:val="00CF6097"/>
    <w:rsid w:val="00CF62DB"/>
    <w:rsid w:val="00CF69FC"/>
    <w:rsid w:val="00CF6BB7"/>
    <w:rsid w:val="00CF7799"/>
    <w:rsid w:val="00D00095"/>
    <w:rsid w:val="00D001F6"/>
    <w:rsid w:val="00D0031B"/>
    <w:rsid w:val="00D0191B"/>
    <w:rsid w:val="00D01A41"/>
    <w:rsid w:val="00D02B34"/>
    <w:rsid w:val="00D0332F"/>
    <w:rsid w:val="00D0416C"/>
    <w:rsid w:val="00D04373"/>
    <w:rsid w:val="00D06819"/>
    <w:rsid w:val="00D06F59"/>
    <w:rsid w:val="00D07B88"/>
    <w:rsid w:val="00D11AE8"/>
    <w:rsid w:val="00D13BEC"/>
    <w:rsid w:val="00D13FEA"/>
    <w:rsid w:val="00D177B0"/>
    <w:rsid w:val="00D200B9"/>
    <w:rsid w:val="00D20470"/>
    <w:rsid w:val="00D20AA7"/>
    <w:rsid w:val="00D21A66"/>
    <w:rsid w:val="00D222C3"/>
    <w:rsid w:val="00D224AB"/>
    <w:rsid w:val="00D2351C"/>
    <w:rsid w:val="00D23FD6"/>
    <w:rsid w:val="00D24498"/>
    <w:rsid w:val="00D24EBC"/>
    <w:rsid w:val="00D2521F"/>
    <w:rsid w:val="00D25765"/>
    <w:rsid w:val="00D26434"/>
    <w:rsid w:val="00D26AB8"/>
    <w:rsid w:val="00D26C64"/>
    <w:rsid w:val="00D3102F"/>
    <w:rsid w:val="00D320DE"/>
    <w:rsid w:val="00D33F60"/>
    <w:rsid w:val="00D346CD"/>
    <w:rsid w:val="00D3544B"/>
    <w:rsid w:val="00D359E4"/>
    <w:rsid w:val="00D3677A"/>
    <w:rsid w:val="00D3683B"/>
    <w:rsid w:val="00D3749D"/>
    <w:rsid w:val="00D37862"/>
    <w:rsid w:val="00D37979"/>
    <w:rsid w:val="00D40215"/>
    <w:rsid w:val="00D40F65"/>
    <w:rsid w:val="00D412D9"/>
    <w:rsid w:val="00D42ECF"/>
    <w:rsid w:val="00D42FBD"/>
    <w:rsid w:val="00D439E2"/>
    <w:rsid w:val="00D43A1B"/>
    <w:rsid w:val="00D440CD"/>
    <w:rsid w:val="00D45C8D"/>
    <w:rsid w:val="00D47C8A"/>
    <w:rsid w:val="00D503EB"/>
    <w:rsid w:val="00D51302"/>
    <w:rsid w:val="00D532DF"/>
    <w:rsid w:val="00D5342C"/>
    <w:rsid w:val="00D54407"/>
    <w:rsid w:val="00D56A71"/>
    <w:rsid w:val="00D56B5B"/>
    <w:rsid w:val="00D57A07"/>
    <w:rsid w:val="00D57D46"/>
    <w:rsid w:val="00D60F82"/>
    <w:rsid w:val="00D63605"/>
    <w:rsid w:val="00D64E4B"/>
    <w:rsid w:val="00D6723B"/>
    <w:rsid w:val="00D67E26"/>
    <w:rsid w:val="00D702B0"/>
    <w:rsid w:val="00D7281B"/>
    <w:rsid w:val="00D7291B"/>
    <w:rsid w:val="00D73C32"/>
    <w:rsid w:val="00D7487D"/>
    <w:rsid w:val="00D77CC6"/>
    <w:rsid w:val="00D80868"/>
    <w:rsid w:val="00D80F8E"/>
    <w:rsid w:val="00D824DE"/>
    <w:rsid w:val="00D83421"/>
    <w:rsid w:val="00D8388C"/>
    <w:rsid w:val="00D850AA"/>
    <w:rsid w:val="00D9176A"/>
    <w:rsid w:val="00D91918"/>
    <w:rsid w:val="00D91F9A"/>
    <w:rsid w:val="00D93BFA"/>
    <w:rsid w:val="00D94084"/>
    <w:rsid w:val="00D97805"/>
    <w:rsid w:val="00DA198A"/>
    <w:rsid w:val="00DA35E9"/>
    <w:rsid w:val="00DA488E"/>
    <w:rsid w:val="00DA4AE0"/>
    <w:rsid w:val="00DA4F57"/>
    <w:rsid w:val="00DA547C"/>
    <w:rsid w:val="00DB016D"/>
    <w:rsid w:val="00DB0B2E"/>
    <w:rsid w:val="00DB2443"/>
    <w:rsid w:val="00DB2649"/>
    <w:rsid w:val="00DB2EC6"/>
    <w:rsid w:val="00DB3C65"/>
    <w:rsid w:val="00DB3E3F"/>
    <w:rsid w:val="00DB53F9"/>
    <w:rsid w:val="00DB5622"/>
    <w:rsid w:val="00DB5A16"/>
    <w:rsid w:val="00DB5AAA"/>
    <w:rsid w:val="00DB69D1"/>
    <w:rsid w:val="00DB6C0D"/>
    <w:rsid w:val="00DC1BC0"/>
    <w:rsid w:val="00DC201E"/>
    <w:rsid w:val="00DC2056"/>
    <w:rsid w:val="00DC2993"/>
    <w:rsid w:val="00DC38BE"/>
    <w:rsid w:val="00DC5579"/>
    <w:rsid w:val="00DC5FCF"/>
    <w:rsid w:val="00DD09CD"/>
    <w:rsid w:val="00DD09D1"/>
    <w:rsid w:val="00DD1BF5"/>
    <w:rsid w:val="00DD23FB"/>
    <w:rsid w:val="00DD2E18"/>
    <w:rsid w:val="00DD2F9F"/>
    <w:rsid w:val="00DD35E1"/>
    <w:rsid w:val="00DD4185"/>
    <w:rsid w:val="00DD4D8E"/>
    <w:rsid w:val="00DD6282"/>
    <w:rsid w:val="00DE0F13"/>
    <w:rsid w:val="00DE0FCD"/>
    <w:rsid w:val="00DE146C"/>
    <w:rsid w:val="00DE1CC4"/>
    <w:rsid w:val="00DE1D10"/>
    <w:rsid w:val="00DE2378"/>
    <w:rsid w:val="00DE2B8E"/>
    <w:rsid w:val="00DE2EDE"/>
    <w:rsid w:val="00DE321D"/>
    <w:rsid w:val="00DE32FB"/>
    <w:rsid w:val="00DE554B"/>
    <w:rsid w:val="00DE6D81"/>
    <w:rsid w:val="00DF03AC"/>
    <w:rsid w:val="00DF0E25"/>
    <w:rsid w:val="00DF1543"/>
    <w:rsid w:val="00DF2BF0"/>
    <w:rsid w:val="00DF2C58"/>
    <w:rsid w:val="00DF4915"/>
    <w:rsid w:val="00DF60E8"/>
    <w:rsid w:val="00DF6902"/>
    <w:rsid w:val="00DF798B"/>
    <w:rsid w:val="00E00362"/>
    <w:rsid w:val="00E011F7"/>
    <w:rsid w:val="00E03C12"/>
    <w:rsid w:val="00E04026"/>
    <w:rsid w:val="00E054C1"/>
    <w:rsid w:val="00E057F8"/>
    <w:rsid w:val="00E0692E"/>
    <w:rsid w:val="00E069FA"/>
    <w:rsid w:val="00E07027"/>
    <w:rsid w:val="00E10721"/>
    <w:rsid w:val="00E10E2E"/>
    <w:rsid w:val="00E114FD"/>
    <w:rsid w:val="00E1300F"/>
    <w:rsid w:val="00E13844"/>
    <w:rsid w:val="00E14F67"/>
    <w:rsid w:val="00E153C8"/>
    <w:rsid w:val="00E16580"/>
    <w:rsid w:val="00E1737F"/>
    <w:rsid w:val="00E24147"/>
    <w:rsid w:val="00E2428F"/>
    <w:rsid w:val="00E26EF2"/>
    <w:rsid w:val="00E273FB"/>
    <w:rsid w:val="00E27414"/>
    <w:rsid w:val="00E30EB2"/>
    <w:rsid w:val="00E310AF"/>
    <w:rsid w:val="00E31CD4"/>
    <w:rsid w:val="00E32975"/>
    <w:rsid w:val="00E33A68"/>
    <w:rsid w:val="00E35169"/>
    <w:rsid w:val="00E35D7E"/>
    <w:rsid w:val="00E402AE"/>
    <w:rsid w:val="00E412B2"/>
    <w:rsid w:val="00E4175B"/>
    <w:rsid w:val="00E421D2"/>
    <w:rsid w:val="00E4256A"/>
    <w:rsid w:val="00E4291C"/>
    <w:rsid w:val="00E434CF"/>
    <w:rsid w:val="00E44882"/>
    <w:rsid w:val="00E45333"/>
    <w:rsid w:val="00E453C3"/>
    <w:rsid w:val="00E4652A"/>
    <w:rsid w:val="00E4667D"/>
    <w:rsid w:val="00E46AE7"/>
    <w:rsid w:val="00E46E63"/>
    <w:rsid w:val="00E50267"/>
    <w:rsid w:val="00E50916"/>
    <w:rsid w:val="00E50C61"/>
    <w:rsid w:val="00E535A0"/>
    <w:rsid w:val="00E54AA1"/>
    <w:rsid w:val="00E55C1E"/>
    <w:rsid w:val="00E61169"/>
    <w:rsid w:val="00E6224C"/>
    <w:rsid w:val="00E6282E"/>
    <w:rsid w:val="00E64234"/>
    <w:rsid w:val="00E64564"/>
    <w:rsid w:val="00E64569"/>
    <w:rsid w:val="00E67BCE"/>
    <w:rsid w:val="00E67D81"/>
    <w:rsid w:val="00E67F6B"/>
    <w:rsid w:val="00E70556"/>
    <w:rsid w:val="00E73591"/>
    <w:rsid w:val="00E74191"/>
    <w:rsid w:val="00E74D94"/>
    <w:rsid w:val="00E752B8"/>
    <w:rsid w:val="00E75D79"/>
    <w:rsid w:val="00E75E3C"/>
    <w:rsid w:val="00E77F94"/>
    <w:rsid w:val="00E8036C"/>
    <w:rsid w:val="00E8219F"/>
    <w:rsid w:val="00E829B5"/>
    <w:rsid w:val="00E8591A"/>
    <w:rsid w:val="00E86069"/>
    <w:rsid w:val="00E87EEF"/>
    <w:rsid w:val="00E90FE1"/>
    <w:rsid w:val="00E9127E"/>
    <w:rsid w:val="00E92D0A"/>
    <w:rsid w:val="00E930FB"/>
    <w:rsid w:val="00E93618"/>
    <w:rsid w:val="00E957A9"/>
    <w:rsid w:val="00E96B36"/>
    <w:rsid w:val="00E96B7F"/>
    <w:rsid w:val="00E971DA"/>
    <w:rsid w:val="00E97A1F"/>
    <w:rsid w:val="00E97B40"/>
    <w:rsid w:val="00E97CAD"/>
    <w:rsid w:val="00EA0A76"/>
    <w:rsid w:val="00EA2937"/>
    <w:rsid w:val="00EA3021"/>
    <w:rsid w:val="00EA40AA"/>
    <w:rsid w:val="00EA540A"/>
    <w:rsid w:val="00EA6FEB"/>
    <w:rsid w:val="00EB0164"/>
    <w:rsid w:val="00EB1EB8"/>
    <w:rsid w:val="00EB2280"/>
    <w:rsid w:val="00EB3BA4"/>
    <w:rsid w:val="00EB405F"/>
    <w:rsid w:val="00EB42B2"/>
    <w:rsid w:val="00EB4E3E"/>
    <w:rsid w:val="00EB531E"/>
    <w:rsid w:val="00EB76B4"/>
    <w:rsid w:val="00EB7920"/>
    <w:rsid w:val="00EC08C4"/>
    <w:rsid w:val="00EC1F6C"/>
    <w:rsid w:val="00EC2065"/>
    <w:rsid w:val="00EC4AF2"/>
    <w:rsid w:val="00EC4DC1"/>
    <w:rsid w:val="00EC4F54"/>
    <w:rsid w:val="00EC54CC"/>
    <w:rsid w:val="00EC5DD3"/>
    <w:rsid w:val="00EC6740"/>
    <w:rsid w:val="00EC6B6F"/>
    <w:rsid w:val="00EC7CC7"/>
    <w:rsid w:val="00ED0197"/>
    <w:rsid w:val="00ED0F62"/>
    <w:rsid w:val="00ED133E"/>
    <w:rsid w:val="00ED1C1D"/>
    <w:rsid w:val="00ED330F"/>
    <w:rsid w:val="00ED35DE"/>
    <w:rsid w:val="00ED3AF7"/>
    <w:rsid w:val="00ED5298"/>
    <w:rsid w:val="00ED61A2"/>
    <w:rsid w:val="00ED675C"/>
    <w:rsid w:val="00ED6765"/>
    <w:rsid w:val="00ED72A9"/>
    <w:rsid w:val="00ED763A"/>
    <w:rsid w:val="00EE0B1C"/>
    <w:rsid w:val="00EE1CFD"/>
    <w:rsid w:val="00EE2282"/>
    <w:rsid w:val="00EE3079"/>
    <w:rsid w:val="00EE418A"/>
    <w:rsid w:val="00EE4F30"/>
    <w:rsid w:val="00EE5480"/>
    <w:rsid w:val="00EE5950"/>
    <w:rsid w:val="00EF021B"/>
    <w:rsid w:val="00EF06A8"/>
    <w:rsid w:val="00EF1484"/>
    <w:rsid w:val="00EF20AE"/>
    <w:rsid w:val="00EF3241"/>
    <w:rsid w:val="00EF3FB8"/>
    <w:rsid w:val="00EF47ED"/>
    <w:rsid w:val="00EF5760"/>
    <w:rsid w:val="00EF5E54"/>
    <w:rsid w:val="00EF7F87"/>
    <w:rsid w:val="00F00235"/>
    <w:rsid w:val="00F00BAC"/>
    <w:rsid w:val="00F01603"/>
    <w:rsid w:val="00F01C90"/>
    <w:rsid w:val="00F01F9E"/>
    <w:rsid w:val="00F02AA3"/>
    <w:rsid w:val="00F041A6"/>
    <w:rsid w:val="00F041F2"/>
    <w:rsid w:val="00F04272"/>
    <w:rsid w:val="00F05042"/>
    <w:rsid w:val="00F05102"/>
    <w:rsid w:val="00F056CF"/>
    <w:rsid w:val="00F057AC"/>
    <w:rsid w:val="00F05DF6"/>
    <w:rsid w:val="00F06B33"/>
    <w:rsid w:val="00F07BC4"/>
    <w:rsid w:val="00F100FA"/>
    <w:rsid w:val="00F10733"/>
    <w:rsid w:val="00F1248C"/>
    <w:rsid w:val="00F14B40"/>
    <w:rsid w:val="00F150F1"/>
    <w:rsid w:val="00F22515"/>
    <w:rsid w:val="00F23146"/>
    <w:rsid w:val="00F23249"/>
    <w:rsid w:val="00F23C27"/>
    <w:rsid w:val="00F24079"/>
    <w:rsid w:val="00F253E7"/>
    <w:rsid w:val="00F25D6F"/>
    <w:rsid w:val="00F266AA"/>
    <w:rsid w:val="00F27ABC"/>
    <w:rsid w:val="00F3144B"/>
    <w:rsid w:val="00F329F6"/>
    <w:rsid w:val="00F330D7"/>
    <w:rsid w:val="00F33A2C"/>
    <w:rsid w:val="00F34456"/>
    <w:rsid w:val="00F3472A"/>
    <w:rsid w:val="00F35FDE"/>
    <w:rsid w:val="00F36B6A"/>
    <w:rsid w:val="00F36C70"/>
    <w:rsid w:val="00F37FF9"/>
    <w:rsid w:val="00F419CC"/>
    <w:rsid w:val="00F43AD3"/>
    <w:rsid w:val="00F44741"/>
    <w:rsid w:val="00F45FEE"/>
    <w:rsid w:val="00F465F1"/>
    <w:rsid w:val="00F46CE9"/>
    <w:rsid w:val="00F47192"/>
    <w:rsid w:val="00F4791B"/>
    <w:rsid w:val="00F52CE0"/>
    <w:rsid w:val="00F52CEC"/>
    <w:rsid w:val="00F52CF4"/>
    <w:rsid w:val="00F55EFE"/>
    <w:rsid w:val="00F56D37"/>
    <w:rsid w:val="00F57872"/>
    <w:rsid w:val="00F60D1F"/>
    <w:rsid w:val="00F6272A"/>
    <w:rsid w:val="00F62821"/>
    <w:rsid w:val="00F64142"/>
    <w:rsid w:val="00F643CF"/>
    <w:rsid w:val="00F654F6"/>
    <w:rsid w:val="00F66C2F"/>
    <w:rsid w:val="00F70B34"/>
    <w:rsid w:val="00F72E57"/>
    <w:rsid w:val="00F7337B"/>
    <w:rsid w:val="00F73AB0"/>
    <w:rsid w:val="00F74383"/>
    <w:rsid w:val="00F743BE"/>
    <w:rsid w:val="00F749EA"/>
    <w:rsid w:val="00F754D9"/>
    <w:rsid w:val="00F75B43"/>
    <w:rsid w:val="00F768C5"/>
    <w:rsid w:val="00F77DFF"/>
    <w:rsid w:val="00F77FA7"/>
    <w:rsid w:val="00F81AA1"/>
    <w:rsid w:val="00F81D47"/>
    <w:rsid w:val="00F830CC"/>
    <w:rsid w:val="00F83556"/>
    <w:rsid w:val="00F8360E"/>
    <w:rsid w:val="00F85AF1"/>
    <w:rsid w:val="00F86224"/>
    <w:rsid w:val="00F873DB"/>
    <w:rsid w:val="00F875DC"/>
    <w:rsid w:val="00F919A2"/>
    <w:rsid w:val="00F929DB"/>
    <w:rsid w:val="00F933FF"/>
    <w:rsid w:val="00F97461"/>
    <w:rsid w:val="00FA214D"/>
    <w:rsid w:val="00FA55EC"/>
    <w:rsid w:val="00FA6135"/>
    <w:rsid w:val="00FA689F"/>
    <w:rsid w:val="00FA6B05"/>
    <w:rsid w:val="00FA71D2"/>
    <w:rsid w:val="00FA7756"/>
    <w:rsid w:val="00FB0A90"/>
    <w:rsid w:val="00FB0B9E"/>
    <w:rsid w:val="00FB13C0"/>
    <w:rsid w:val="00FB426F"/>
    <w:rsid w:val="00FB63E9"/>
    <w:rsid w:val="00FB63EF"/>
    <w:rsid w:val="00FC0249"/>
    <w:rsid w:val="00FC19F2"/>
    <w:rsid w:val="00FC32FF"/>
    <w:rsid w:val="00FC3A47"/>
    <w:rsid w:val="00FC3B31"/>
    <w:rsid w:val="00FC3E4D"/>
    <w:rsid w:val="00FC4430"/>
    <w:rsid w:val="00FC4C95"/>
    <w:rsid w:val="00FC743C"/>
    <w:rsid w:val="00FC7DD0"/>
    <w:rsid w:val="00FD0A28"/>
    <w:rsid w:val="00FD0B04"/>
    <w:rsid w:val="00FD1889"/>
    <w:rsid w:val="00FD1C66"/>
    <w:rsid w:val="00FD2284"/>
    <w:rsid w:val="00FD37F2"/>
    <w:rsid w:val="00FD38EC"/>
    <w:rsid w:val="00FD420F"/>
    <w:rsid w:val="00FD54A9"/>
    <w:rsid w:val="00FD5B7F"/>
    <w:rsid w:val="00FD6EA0"/>
    <w:rsid w:val="00FD7235"/>
    <w:rsid w:val="00FD7AD6"/>
    <w:rsid w:val="00FD7D89"/>
    <w:rsid w:val="00FE0BCB"/>
    <w:rsid w:val="00FE1449"/>
    <w:rsid w:val="00FE2E2C"/>
    <w:rsid w:val="00FE40AE"/>
    <w:rsid w:val="00FE475B"/>
    <w:rsid w:val="00FE4B20"/>
    <w:rsid w:val="00FE4DCC"/>
    <w:rsid w:val="00FE4E16"/>
    <w:rsid w:val="00FE50AF"/>
    <w:rsid w:val="00FE56BC"/>
    <w:rsid w:val="00FE58C6"/>
    <w:rsid w:val="00FE5D46"/>
    <w:rsid w:val="00FE6B5A"/>
    <w:rsid w:val="00FF198D"/>
    <w:rsid w:val="00FF2F0C"/>
    <w:rsid w:val="00FF32ED"/>
    <w:rsid w:val="00FF3889"/>
    <w:rsid w:val="00FF3D9B"/>
    <w:rsid w:val="00FF4E04"/>
    <w:rsid w:val="00FF4F4A"/>
    <w:rsid w:val="00FF5331"/>
    <w:rsid w:val="00FF5E73"/>
    <w:rsid w:val="00FF6675"/>
    <w:rsid w:val="00FF762E"/>
    <w:rsid w:val="00FF7943"/>
    <w:rsid w:val="00FF7FDB"/>
    <w:rsid w:val="01C212BA"/>
    <w:rsid w:val="04C26386"/>
    <w:rsid w:val="08701643"/>
    <w:rsid w:val="08D71549"/>
    <w:rsid w:val="108219C2"/>
    <w:rsid w:val="171D1D29"/>
    <w:rsid w:val="17691215"/>
    <w:rsid w:val="1943738C"/>
    <w:rsid w:val="1FB0218A"/>
    <w:rsid w:val="233E6004"/>
    <w:rsid w:val="24842E40"/>
    <w:rsid w:val="263B7FF9"/>
    <w:rsid w:val="2D8D7657"/>
    <w:rsid w:val="2FBA320F"/>
    <w:rsid w:val="3DFC0B3E"/>
    <w:rsid w:val="42910FBB"/>
    <w:rsid w:val="4A2B4298"/>
    <w:rsid w:val="57967A03"/>
    <w:rsid w:val="59957BC5"/>
    <w:rsid w:val="59D60D47"/>
    <w:rsid w:val="5EA12B9A"/>
    <w:rsid w:val="660E72FE"/>
    <w:rsid w:val="67B1535A"/>
    <w:rsid w:val="68452589"/>
    <w:rsid w:val="69B67CE3"/>
    <w:rsid w:val="6FAE1A76"/>
    <w:rsid w:val="7FAC2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semiHidden/>
    <w:unhideWhenUsed/>
    <w:qFormat/>
    <w:uiPriority w:val="99"/>
    <w:pPr>
      <w:spacing w:after="120"/>
      <w:ind w:left="420" w:leftChars="200"/>
    </w:pPr>
  </w:style>
  <w:style w:type="paragraph" w:styleId="3">
    <w:name w:val="Plain Text"/>
    <w:basedOn w:val="1"/>
    <w:link w:val="21"/>
    <w:unhideWhenUsed/>
    <w:qFormat/>
    <w:uiPriority w:val="0"/>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8">
    <w:name w:val="Body Text First Indent 2"/>
    <w:basedOn w:val="2"/>
    <w:link w:val="19"/>
    <w:qFormat/>
    <w:uiPriority w:val="0"/>
    <w:pPr>
      <w:spacing w:after="0"/>
      <w:ind w:left="0" w:leftChars="0" w:firstLine="420" w:firstLineChars="200"/>
      <w:jc w:val="left"/>
    </w:pPr>
    <w:rPr>
      <w:rFonts w:ascii="宋体" w:hAnsi="宋体" w:eastAsia="仿宋_GB2312"/>
      <w:color w:val="000000"/>
      <w:sz w:val="2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正文文本缩进 Char"/>
    <w:basedOn w:val="11"/>
    <w:link w:val="2"/>
    <w:semiHidden/>
    <w:qFormat/>
    <w:uiPriority w:val="99"/>
    <w:rPr>
      <w:rFonts w:ascii="Times New Roman" w:hAnsi="Times New Roman" w:eastAsia="宋体" w:cs="Times New Roman"/>
      <w:kern w:val="2"/>
      <w:sz w:val="21"/>
    </w:rPr>
  </w:style>
  <w:style w:type="character" w:customStyle="1" w:styleId="19">
    <w:name w:val="正文首行缩进 2 Char"/>
    <w:basedOn w:val="18"/>
    <w:link w:val="8"/>
    <w:qFormat/>
    <w:uiPriority w:val="0"/>
    <w:rPr>
      <w:rFonts w:ascii="宋体" w:hAnsi="宋体" w:eastAsia="仿宋_GB2312"/>
      <w:color w:val="000000"/>
      <w:sz w:val="28"/>
    </w:rPr>
  </w:style>
  <w:style w:type="paragraph" w:customStyle="1" w:styleId="20">
    <w:name w:val="表格文字"/>
    <w:basedOn w:val="1"/>
    <w:qFormat/>
    <w:uiPriority w:val="0"/>
    <w:pPr>
      <w:spacing w:before="25" w:after="25"/>
    </w:pPr>
    <w:rPr>
      <w:bCs/>
      <w:spacing w:val="10"/>
    </w:rPr>
  </w:style>
  <w:style w:type="character" w:customStyle="1" w:styleId="21">
    <w:name w:val="纯文本 Char"/>
    <w:basedOn w:val="11"/>
    <w:link w:val="3"/>
    <w:qFormat/>
    <w:uiPriority w:val="0"/>
    <w:rPr>
      <w:rFonts w:ascii="宋体" w:hAnsi="Courier New" w:eastAsia="宋体" w:cs="Times New Roman"/>
      <w:kern w:val="2"/>
      <w:sz w:val="21"/>
    </w:rPr>
  </w:style>
  <w:style w:type="paragraph" w:styleId="22">
    <w:name w:val="List Paragraph"/>
    <w:basedOn w:val="1"/>
    <w:qFormat/>
    <w:uiPriority w:val="99"/>
    <w:pPr>
      <w:ind w:firstLine="420" w:firstLineChars="200"/>
    </w:pPr>
  </w:style>
  <w:style w:type="character" w:customStyle="1" w:styleId="23">
    <w:name w:val="title3"/>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7F081-7B5C-47A9-ABE2-0705544D769F}">
  <ds:schemaRefs/>
</ds:datastoreItem>
</file>

<file path=docProps/app.xml><?xml version="1.0" encoding="utf-8"?>
<Properties xmlns="http://schemas.openxmlformats.org/officeDocument/2006/extended-properties" xmlns:vt="http://schemas.openxmlformats.org/officeDocument/2006/docPropsVTypes">
  <Template>Normal</Template>
  <Pages>28</Pages>
  <Words>2279</Words>
  <Characters>12991</Characters>
  <Lines>108</Lines>
  <Paragraphs>30</Paragraphs>
  <TotalTime>3</TotalTime>
  <ScaleCrop>false</ScaleCrop>
  <LinksUpToDate>false</LinksUpToDate>
  <CharactersWithSpaces>15240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2021-01-06T09:16:00Z</dcterms:modified>
  <cp:revision>2198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